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2542E">
      <w:pPr>
        <w:jc w:val="center"/>
        <w:rPr>
          <w:rFonts w:ascii="方正小标宋_GBK" w:hAnsi="方正小标宋_GBK" w:eastAsia="方正小标宋_GBK" w:cs="方正小标宋_GBK"/>
          <w:b/>
          <w:sz w:val="24"/>
          <w:szCs w:val="24"/>
        </w:rPr>
      </w:pPr>
      <w:bookmarkStart w:id="0" w:name="OLE_LINK8"/>
      <w:bookmarkStart w:id="1" w:name="OLE_LINK7"/>
      <w:r>
        <w:rPr>
          <w:rFonts w:hint="eastAsia" w:ascii="方正小标宋_GBK" w:hAnsi="方正小标宋_GBK" w:eastAsia="方正小标宋_GBK" w:cs="方正小标宋_GBK"/>
          <w:b/>
          <w:sz w:val="44"/>
          <w:szCs w:val="44"/>
        </w:rPr>
        <w:t xml:space="preserve"> 企业国有资产挂牌处置</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376"/>
        <w:gridCol w:w="1042"/>
        <w:gridCol w:w="123"/>
        <w:gridCol w:w="695"/>
        <w:gridCol w:w="2699"/>
      </w:tblGrid>
      <w:tr w14:paraId="7BF76E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4B4980D8">
            <w:pPr>
              <w:spacing w:line="360" w:lineRule="exac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w:t>
            </w:r>
            <w:r>
              <w:rPr>
                <w:rFonts w:hint="eastAsia" w:ascii="微软雅黑" w:hAnsi="微软雅黑" w:eastAsia="微软雅黑" w:cs="微软雅黑"/>
                <w:color w:val="000000"/>
                <w:sz w:val="21"/>
                <w:szCs w:val="21"/>
                <w:lang w:val="en-US" w:eastAsia="zh-CN"/>
              </w:rPr>
              <w:t xml:space="preserve">   </w:t>
            </w:r>
            <w:r>
              <w:rPr>
                <w:rFonts w:hint="eastAsia" w:ascii="微软雅黑" w:hAnsi="微软雅黑" w:eastAsia="微软雅黑" w:cs="微软雅黑"/>
                <w:color w:val="000000"/>
                <w:sz w:val="21"/>
                <w:szCs w:val="21"/>
              </w:rPr>
              <w:t xml:space="preserve"> 资产名称</w:t>
            </w:r>
          </w:p>
        </w:tc>
        <w:tc>
          <w:tcPr>
            <w:tcW w:w="7384" w:type="dxa"/>
            <w:gridSpan w:val="7"/>
            <w:vAlign w:val="center"/>
          </w:tcPr>
          <w:p w14:paraId="623C66A9">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酒店高档酒水</w:t>
            </w:r>
          </w:p>
        </w:tc>
      </w:tr>
      <w:tr w14:paraId="64E2DB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4" w:hRule="atLeast"/>
        </w:trPr>
        <w:tc>
          <w:tcPr>
            <w:tcW w:w="2195" w:type="dxa"/>
            <w:gridSpan w:val="3"/>
            <w:tcBorders>
              <w:bottom w:val="single" w:color="auto" w:sz="4" w:space="0"/>
            </w:tcBorders>
            <w:vAlign w:val="center"/>
          </w:tcPr>
          <w:p w14:paraId="3C11F7E3">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资产类别</w:t>
            </w:r>
          </w:p>
        </w:tc>
        <w:tc>
          <w:tcPr>
            <w:tcW w:w="2825" w:type="dxa"/>
            <w:gridSpan w:val="3"/>
            <w:tcBorders>
              <w:bottom w:val="single" w:color="auto" w:sz="4" w:space="0"/>
              <w:right w:val="single" w:color="auto" w:sz="4" w:space="0"/>
            </w:tcBorders>
            <w:vAlign w:val="center"/>
          </w:tcPr>
          <w:p w14:paraId="5B90EDF8">
            <w:pPr>
              <w:spacing w:line="360" w:lineRule="exact"/>
              <w:jc w:val="both"/>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lang w:eastAsia="zh-CN"/>
              </w:rPr>
              <w:t>其他类</w:t>
            </w:r>
          </w:p>
        </w:tc>
        <w:tc>
          <w:tcPr>
            <w:tcW w:w="1860" w:type="dxa"/>
            <w:gridSpan w:val="3"/>
            <w:tcBorders>
              <w:left w:val="single" w:color="auto" w:sz="4" w:space="0"/>
              <w:bottom w:val="single" w:color="auto" w:sz="4" w:space="0"/>
              <w:right w:val="single" w:color="auto" w:sz="4" w:space="0"/>
            </w:tcBorders>
            <w:vAlign w:val="center"/>
          </w:tcPr>
          <w:p w14:paraId="6BB5C271">
            <w:pPr>
              <w:spacing w:line="360" w:lineRule="exact"/>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eastAsia="zh-CN"/>
              </w:rPr>
              <w:t>转让底价（元）</w:t>
            </w:r>
          </w:p>
        </w:tc>
        <w:tc>
          <w:tcPr>
            <w:tcW w:w="2699" w:type="dxa"/>
            <w:tcBorders>
              <w:left w:val="single" w:color="auto" w:sz="4" w:space="0"/>
              <w:bottom w:val="single" w:color="auto" w:sz="4" w:space="0"/>
            </w:tcBorders>
          </w:tcPr>
          <w:p w14:paraId="554F3730">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588460元</w:t>
            </w:r>
          </w:p>
        </w:tc>
      </w:tr>
      <w:tr w14:paraId="186CB63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7A1F9A23">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资产管理方基本情况</w:t>
            </w:r>
          </w:p>
        </w:tc>
      </w:tr>
      <w:tr w14:paraId="7AE62A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AFB2DF0">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资产管理方名称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43B0689B">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湖南华天大酒店有限公司</w:t>
            </w:r>
          </w:p>
        </w:tc>
      </w:tr>
      <w:tr w14:paraId="44696D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0041416C">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403EBE9D">
            <w:pPr>
              <w:spacing w:line="360" w:lineRule="exact"/>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lang w:val="en-US" w:eastAsia="zh-CN"/>
              </w:rPr>
              <w:t>湖南省长沙市芙蓉区解放东路300号</w:t>
            </w:r>
          </w:p>
        </w:tc>
      </w:tr>
      <w:tr w14:paraId="7A25A2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43852A2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pacing w:val="-2"/>
                <w:sz w:val="21"/>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43C2D441">
            <w:pPr>
              <w:spacing w:line="360" w:lineRule="exact"/>
              <w:jc w:val="center"/>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周敏</w:t>
            </w:r>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034B7DAF">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统一社会</w:t>
            </w:r>
          </w:p>
          <w:p w14:paraId="552A8AB4">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信用代码</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7B0AC103">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lang w:val="en-US" w:eastAsia="zh-CN"/>
              </w:rPr>
              <w:t>91430102MA4RF9PW6G</w:t>
            </w:r>
            <w:r>
              <w:rPr>
                <w:rFonts w:hint="eastAsia" w:ascii="微软雅黑" w:hAnsi="微软雅黑" w:eastAsia="微软雅黑" w:cs="微软雅黑"/>
                <w:sz w:val="21"/>
                <w:szCs w:val="21"/>
              </w:rPr>
              <w:t xml:space="preserve"> </w:t>
            </w:r>
          </w:p>
        </w:tc>
      </w:tr>
      <w:tr w14:paraId="66048F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566A486A">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经办人</w:t>
            </w:r>
          </w:p>
        </w:tc>
        <w:tc>
          <w:tcPr>
            <w:tcW w:w="2256" w:type="dxa"/>
            <w:tcBorders>
              <w:top w:val="single" w:color="auto" w:sz="4" w:space="0"/>
              <w:left w:val="single" w:color="auto" w:sz="4" w:space="0"/>
              <w:bottom w:val="single" w:color="auto" w:sz="4" w:space="0"/>
              <w:right w:val="single" w:color="auto" w:sz="4" w:space="0"/>
            </w:tcBorders>
            <w:vAlign w:val="center"/>
          </w:tcPr>
          <w:p w14:paraId="712E4CAF">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val="en-US" w:eastAsia="zh-CN"/>
              </w:rPr>
              <w:t>刘郁洁</w:t>
            </w:r>
            <w:r>
              <w:rPr>
                <w:rFonts w:hint="eastAsia" w:ascii="微软雅黑" w:hAnsi="微软雅黑" w:eastAsia="微软雅黑" w:cs="微软雅黑"/>
                <w:color w:val="000000"/>
                <w:sz w:val="21"/>
                <w:szCs w:val="21"/>
              </w:rPr>
              <w:t xml:space="preserve"> </w:t>
            </w:r>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08AE8C35">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联系电话</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0BA1F752">
            <w:pPr>
              <w:spacing w:line="360" w:lineRule="exact"/>
              <w:jc w:val="center"/>
              <w:rPr>
                <w:rFonts w:hint="default" w:ascii="微软雅黑" w:hAnsi="微软雅黑" w:eastAsia="微软雅黑" w:cs="微软雅黑"/>
                <w:color w:val="000000"/>
                <w:sz w:val="21"/>
                <w:szCs w:val="21"/>
                <w:lang w:val="en-US"/>
              </w:rPr>
            </w:pPr>
            <w:r>
              <w:rPr>
                <w:rFonts w:hint="eastAsia" w:ascii="微软雅黑" w:hAnsi="微软雅黑" w:eastAsia="微软雅黑" w:cs="微软雅黑"/>
                <w:color w:val="000000"/>
                <w:sz w:val="21"/>
                <w:szCs w:val="21"/>
                <w:lang w:val="en-US" w:eastAsia="zh-CN"/>
              </w:rPr>
              <w:t>13787411496</w:t>
            </w:r>
          </w:p>
        </w:tc>
      </w:tr>
      <w:tr w14:paraId="5B8EAB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65DD544D">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资产基本情况</w:t>
            </w:r>
          </w:p>
        </w:tc>
      </w:tr>
      <w:tr w14:paraId="6F3F8D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506829D">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原始购置成本</w:t>
            </w:r>
          </w:p>
        </w:tc>
        <w:tc>
          <w:tcPr>
            <w:tcW w:w="2256" w:type="dxa"/>
            <w:tcBorders>
              <w:top w:val="single" w:color="auto" w:sz="4" w:space="0"/>
              <w:left w:val="single" w:color="auto" w:sz="4" w:space="0"/>
              <w:bottom w:val="single" w:color="auto" w:sz="4" w:space="0"/>
              <w:right w:val="single" w:color="auto" w:sz="4" w:space="0"/>
            </w:tcBorders>
            <w:vAlign w:val="center"/>
          </w:tcPr>
          <w:p w14:paraId="000AC753">
            <w:pPr>
              <w:spacing w:line="360" w:lineRule="exact"/>
              <w:jc w:val="center"/>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459569</w:t>
            </w:r>
            <w:bookmarkStart w:id="2" w:name="_GoBack"/>
            <w:bookmarkEnd w:id="2"/>
          </w:p>
        </w:tc>
        <w:tc>
          <w:tcPr>
            <w:tcW w:w="1734" w:type="dxa"/>
            <w:gridSpan w:val="4"/>
            <w:tcBorders>
              <w:top w:val="single" w:color="auto" w:sz="4" w:space="0"/>
              <w:left w:val="single" w:color="auto" w:sz="4" w:space="0"/>
              <w:bottom w:val="single" w:color="auto" w:sz="4" w:space="0"/>
              <w:right w:val="single" w:color="auto" w:sz="4" w:space="0"/>
            </w:tcBorders>
            <w:vAlign w:val="center"/>
          </w:tcPr>
          <w:p w14:paraId="5E06F8E8">
            <w:pPr>
              <w:spacing w:line="360" w:lineRule="exact"/>
              <w:jc w:val="center"/>
              <w:rPr>
                <w:rFonts w:hint="eastAsia" w:ascii="微软雅黑" w:hAnsi="微软雅黑" w:eastAsia="微软雅黑" w:cs="微软雅黑"/>
                <w:color w:val="000000"/>
                <w:sz w:val="21"/>
                <w:szCs w:val="21"/>
                <w:lang w:eastAsia="zh-CN"/>
              </w:rPr>
            </w:pPr>
            <w:r>
              <w:rPr>
                <w:rFonts w:hint="eastAsia" w:ascii="微软雅黑" w:hAnsi="微软雅黑" w:eastAsia="微软雅黑" w:cs="微软雅黑"/>
                <w:color w:val="000000"/>
                <w:sz w:val="21"/>
                <w:szCs w:val="21"/>
                <w:lang w:eastAsia="zh-CN"/>
              </w:rPr>
              <w:t>账面净值</w:t>
            </w:r>
          </w:p>
        </w:tc>
        <w:tc>
          <w:tcPr>
            <w:tcW w:w="3394" w:type="dxa"/>
            <w:gridSpan w:val="2"/>
            <w:tcBorders>
              <w:top w:val="single" w:color="auto" w:sz="4" w:space="0"/>
              <w:left w:val="single" w:color="auto" w:sz="4" w:space="0"/>
              <w:bottom w:val="single" w:color="auto" w:sz="4" w:space="0"/>
              <w:right w:val="single" w:color="auto" w:sz="4" w:space="0"/>
            </w:tcBorders>
            <w:vAlign w:val="center"/>
          </w:tcPr>
          <w:p w14:paraId="544A92B3">
            <w:pPr>
              <w:spacing w:line="360" w:lineRule="exact"/>
              <w:jc w:val="center"/>
              <w:rPr>
                <w:rFonts w:hint="default"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459569</w:t>
            </w:r>
          </w:p>
        </w:tc>
      </w:tr>
      <w:tr w14:paraId="3D65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5E24361A">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lang w:val="en-US" w:eastAsia="zh-CN"/>
              </w:rPr>
              <w:t xml:space="preserve">  </w:t>
            </w:r>
            <w:r>
              <w:rPr>
                <w:rFonts w:hint="eastAsia" w:ascii="微软雅黑" w:hAnsi="微软雅黑" w:eastAsia="微软雅黑" w:cs="微软雅黑"/>
                <w:color w:val="000000"/>
                <w:sz w:val="21"/>
                <w:szCs w:val="21"/>
              </w:rPr>
              <w:t>处置行为批准（备案）及资产评估情况</w:t>
            </w:r>
          </w:p>
        </w:tc>
      </w:tr>
      <w:tr w14:paraId="25CDF2B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4CFDE964">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5428ECF3">
            <w:pPr>
              <w:spacing w:line="360" w:lineRule="exact"/>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湖南华天大酒店有限公司</w:t>
            </w:r>
          </w:p>
        </w:tc>
        <w:tc>
          <w:tcPr>
            <w:tcW w:w="1418" w:type="dxa"/>
            <w:gridSpan w:val="2"/>
            <w:tcBorders>
              <w:top w:val="single" w:color="auto" w:sz="2" w:space="0"/>
              <w:left w:val="single" w:color="auto" w:sz="2" w:space="0"/>
              <w:bottom w:val="single" w:color="auto" w:sz="2" w:space="0"/>
              <w:right w:val="single" w:color="auto" w:sz="2" w:space="0"/>
            </w:tcBorders>
            <w:vAlign w:val="center"/>
          </w:tcPr>
          <w:p w14:paraId="7C355799">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批准（备案）文号</w:t>
            </w:r>
          </w:p>
        </w:tc>
        <w:tc>
          <w:tcPr>
            <w:tcW w:w="3517" w:type="dxa"/>
            <w:gridSpan w:val="3"/>
            <w:tcBorders>
              <w:top w:val="single" w:color="auto" w:sz="2" w:space="0"/>
              <w:left w:val="single" w:color="auto" w:sz="2" w:space="0"/>
              <w:bottom w:val="single" w:color="auto" w:sz="2" w:space="0"/>
              <w:right w:val="single" w:color="auto" w:sz="2" w:space="0"/>
            </w:tcBorders>
            <w:vAlign w:val="center"/>
          </w:tcPr>
          <w:p w14:paraId="613013C8">
            <w:pPr>
              <w:spacing w:line="360" w:lineRule="exact"/>
              <w:ind w:left="-105" w:leftChars="-50"/>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[2026]第4次</w:t>
            </w:r>
          </w:p>
        </w:tc>
      </w:tr>
      <w:tr w14:paraId="091433F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87D610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资产处置定价方式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00A763E8">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sym w:font="Wingdings 2" w:char="0052"/>
            </w:r>
            <w:r>
              <w:rPr>
                <w:rFonts w:hint="eastAsia" w:ascii="微软雅黑" w:hAnsi="微软雅黑" w:eastAsia="微软雅黑" w:cs="微软雅黑"/>
                <w:sz w:val="21"/>
                <w:szCs w:val="21"/>
              </w:rPr>
              <w:t xml:space="preserve"> 资产评估 </w:t>
            </w:r>
            <w:r>
              <w:rPr>
                <w:rFonts w:hint="eastAsia" w:ascii="微软雅黑" w:hAnsi="微软雅黑" w:eastAsia="微软雅黑" w:cs="微软雅黑"/>
                <w:sz w:val="21"/>
                <w:szCs w:val="21"/>
              </w:rPr>
              <w:sym w:font="Wingdings 2" w:char="00A3"/>
            </w:r>
            <w:r>
              <w:rPr>
                <w:rFonts w:hint="eastAsia" w:ascii="微软雅黑" w:hAnsi="微软雅黑" w:eastAsia="微软雅黑" w:cs="微软雅黑"/>
                <w:sz w:val="21"/>
                <w:szCs w:val="21"/>
              </w:rPr>
              <w:t xml:space="preserve"> 市场询价</w:t>
            </w:r>
          </w:p>
        </w:tc>
        <w:tc>
          <w:tcPr>
            <w:tcW w:w="1418" w:type="dxa"/>
            <w:gridSpan w:val="2"/>
            <w:tcBorders>
              <w:top w:val="single" w:color="auto" w:sz="2" w:space="0"/>
              <w:left w:val="single" w:color="auto" w:sz="2" w:space="0"/>
              <w:bottom w:val="single" w:color="auto" w:sz="2" w:space="0"/>
              <w:right w:val="single" w:color="auto" w:sz="2" w:space="0"/>
            </w:tcBorders>
            <w:vAlign w:val="center"/>
          </w:tcPr>
          <w:p w14:paraId="3EAC514A">
            <w:pPr>
              <w:spacing w:line="3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评估值</w:t>
            </w:r>
          </w:p>
        </w:tc>
        <w:tc>
          <w:tcPr>
            <w:tcW w:w="3517" w:type="dxa"/>
            <w:gridSpan w:val="3"/>
            <w:tcBorders>
              <w:top w:val="single" w:color="auto" w:sz="2" w:space="0"/>
              <w:left w:val="single" w:color="auto" w:sz="2" w:space="0"/>
              <w:bottom w:val="single" w:color="auto" w:sz="2" w:space="0"/>
              <w:right w:val="single" w:color="auto" w:sz="2" w:space="0"/>
            </w:tcBorders>
            <w:vAlign w:val="center"/>
          </w:tcPr>
          <w:p w14:paraId="36C77841">
            <w:pPr>
              <w:spacing w:line="360" w:lineRule="exact"/>
              <w:ind w:left="-105" w:leftChars="-50"/>
              <w:jc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588460元</w:t>
            </w:r>
          </w:p>
        </w:tc>
      </w:tr>
      <w:tr w14:paraId="6FF4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EC0EF6E">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挂牌公告期</w:t>
            </w:r>
          </w:p>
        </w:tc>
      </w:tr>
      <w:tr w14:paraId="5703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9579" w:type="dxa"/>
            <w:gridSpan w:val="10"/>
            <w:vAlign w:val="center"/>
          </w:tcPr>
          <w:p w14:paraId="74F77391">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挂牌公告期：自公告之日起</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个工作日</w:t>
            </w:r>
          </w:p>
          <w:p w14:paraId="18F4E3EA">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1、挂牌价格低于100万元的资产，挂牌期不少于5个工作日；</w:t>
            </w:r>
          </w:p>
          <w:p w14:paraId="73F07B38">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2、挂牌底价</w:t>
            </w:r>
            <w:r>
              <w:rPr>
                <w:rFonts w:hint="eastAsia" w:ascii="微软雅黑" w:hAnsi="微软雅黑" w:eastAsia="微软雅黑" w:cs="微软雅黑"/>
                <w:color w:val="000000"/>
                <w:sz w:val="21"/>
                <w:szCs w:val="21"/>
                <w:lang w:eastAsia="zh-CN"/>
              </w:rPr>
              <w:t>等于或</w:t>
            </w:r>
            <w:r>
              <w:rPr>
                <w:rFonts w:hint="eastAsia" w:ascii="微软雅黑" w:hAnsi="微软雅黑" w:eastAsia="微软雅黑" w:cs="微软雅黑"/>
                <w:color w:val="000000"/>
                <w:sz w:val="21"/>
                <w:szCs w:val="21"/>
              </w:rPr>
              <w:t>高于100万元、低于1000万元的项目，挂牌期不少于10个工作日；</w:t>
            </w:r>
          </w:p>
          <w:p w14:paraId="5C8D0A87">
            <w:pP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3、挂牌底价</w:t>
            </w:r>
            <w:r>
              <w:rPr>
                <w:rFonts w:hint="eastAsia" w:ascii="微软雅黑" w:hAnsi="微软雅黑" w:eastAsia="微软雅黑" w:cs="微软雅黑"/>
                <w:color w:val="000000"/>
                <w:sz w:val="21"/>
                <w:szCs w:val="21"/>
                <w:lang w:eastAsia="zh-CN"/>
              </w:rPr>
              <w:t>等于或</w:t>
            </w:r>
            <w:r>
              <w:rPr>
                <w:rFonts w:hint="eastAsia" w:ascii="微软雅黑" w:hAnsi="微软雅黑" w:eastAsia="微软雅黑" w:cs="微软雅黑"/>
                <w:color w:val="000000"/>
                <w:sz w:val="21"/>
                <w:szCs w:val="21"/>
              </w:rPr>
              <w:t>高于1000万元的项目，挂牌期不少于20个工作日。</w:t>
            </w:r>
          </w:p>
          <w:p w14:paraId="3CCBE99B">
            <w:pPr>
              <w:rPr>
                <w:rFonts w:hint="eastAsia" w:ascii="微软雅黑" w:hAnsi="微软雅黑" w:eastAsia="微软雅黑" w:cs="微软雅黑"/>
                <w:color w:val="000000"/>
                <w:sz w:val="21"/>
                <w:szCs w:val="21"/>
              </w:rPr>
            </w:pPr>
          </w:p>
        </w:tc>
      </w:tr>
      <w:tr w14:paraId="1347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26F1BF53">
            <w:pPr>
              <w:spacing w:line="340" w:lineRule="exact"/>
              <w:ind w:left="461" w:hanging="403" w:hangingChars="192"/>
              <w:rPr>
                <w:rFonts w:hint="eastAsia" w:ascii="微软雅黑" w:hAnsi="微软雅黑" w:eastAsia="微软雅黑" w:cs="微软雅黑"/>
                <w:color w:val="000000"/>
                <w:sz w:val="21"/>
                <w:szCs w:val="21"/>
                <w:u w:val="single"/>
              </w:rPr>
            </w:pPr>
            <w:r>
              <w:rPr>
                <w:rFonts w:hint="eastAsia" w:ascii="微软雅黑" w:hAnsi="微软雅黑" w:eastAsia="微软雅黑" w:cs="微软雅黑"/>
                <w:color w:val="000000"/>
                <w:sz w:val="21"/>
                <w:szCs w:val="21"/>
              </w:rPr>
              <w:t xml:space="preserve">挂牌期满，如未征集到意向受让方，则：    </w:t>
            </w:r>
          </w:p>
          <w:p w14:paraId="3E814ABB">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不变更挂牌条件，按照</w:t>
            </w:r>
            <w:r>
              <w:rPr>
                <w:rFonts w:hint="eastAsia" w:ascii="微软雅黑" w:hAnsi="微软雅黑" w:eastAsia="微软雅黑" w:cs="微软雅黑"/>
                <w:color w:val="000000"/>
                <w:sz w:val="21"/>
                <w:szCs w:val="21"/>
                <w:u w:val="single"/>
              </w:rPr>
              <w:t>5</w:t>
            </w:r>
            <w:r>
              <w:rPr>
                <w:rFonts w:hint="eastAsia" w:ascii="微软雅黑" w:hAnsi="微软雅黑" w:eastAsia="微软雅黑" w:cs="微软雅黑"/>
                <w:color w:val="000000"/>
                <w:sz w:val="21"/>
                <w:szCs w:val="21"/>
              </w:rPr>
              <w:t>个工作日为一个延长周期，最多顺延</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u w:val="single"/>
                <w:lang w:val="en-US" w:eastAsia="zh-CN"/>
              </w:rPr>
              <w:t>3</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个周期。</w:t>
            </w:r>
          </w:p>
          <w:p w14:paraId="6BF7A9AC">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变更挂牌条件，待重新办理挂牌手续后再次挂牌。</w:t>
            </w:r>
          </w:p>
          <w:p w14:paraId="2C814CE7">
            <w:pPr>
              <w:ind w:left="461" w:hanging="403" w:hangingChars="192"/>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终止挂牌。</w:t>
            </w:r>
          </w:p>
        </w:tc>
      </w:tr>
      <w:tr w14:paraId="1783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371EE230">
            <w:pPr>
              <w:spacing w:line="380" w:lineRule="exact"/>
              <w:jc w:val="center"/>
              <w:textAlignment w:val="baseline"/>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交易条件</w:t>
            </w:r>
          </w:p>
        </w:tc>
      </w:tr>
      <w:tr w14:paraId="49BD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579" w:type="dxa"/>
            <w:gridSpan w:val="10"/>
            <w:vAlign w:val="center"/>
          </w:tcPr>
          <w:p w14:paraId="57A6BBA7">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1、意向受让方若成功受让，须在公告截止</w:t>
            </w:r>
            <w:r>
              <w:rPr>
                <w:rFonts w:hint="eastAsia" w:ascii="微软雅黑" w:hAnsi="微软雅黑" w:eastAsia="微软雅黑" w:cs="微软雅黑"/>
                <w:color w:val="000000"/>
                <w:kern w:val="0"/>
                <w:sz w:val="21"/>
                <w:szCs w:val="21"/>
                <w:lang w:eastAsia="zh-CN"/>
              </w:rPr>
              <w:t>之日起</w:t>
            </w:r>
            <w:r>
              <w:rPr>
                <w:rFonts w:hint="eastAsia" w:ascii="微软雅黑" w:hAnsi="微软雅黑" w:eastAsia="微软雅黑" w:cs="微软雅黑"/>
                <w:color w:val="000000"/>
                <w:kern w:val="0"/>
                <w:sz w:val="21"/>
                <w:szCs w:val="21"/>
              </w:rPr>
              <w:t>5个工作日</w:t>
            </w:r>
            <w:r>
              <w:rPr>
                <w:rFonts w:hint="eastAsia" w:ascii="微软雅黑" w:hAnsi="微软雅黑" w:eastAsia="微软雅黑" w:cs="微软雅黑"/>
                <w:color w:val="000000"/>
                <w:kern w:val="0"/>
                <w:sz w:val="21"/>
                <w:szCs w:val="21"/>
                <w:lang w:eastAsia="zh-CN"/>
              </w:rPr>
              <w:t>内</w:t>
            </w:r>
            <w:r>
              <w:rPr>
                <w:rFonts w:hint="eastAsia" w:ascii="微软雅黑" w:hAnsi="微软雅黑" w:eastAsia="微软雅黑" w:cs="微软雅黑"/>
                <w:color w:val="000000"/>
                <w:kern w:val="0"/>
                <w:sz w:val="21"/>
                <w:szCs w:val="21"/>
              </w:rPr>
              <w:t>缴纳</w:t>
            </w:r>
            <w:r>
              <w:rPr>
                <w:rFonts w:hint="eastAsia" w:ascii="微软雅黑" w:hAnsi="微软雅黑" w:eastAsia="微软雅黑" w:cs="微软雅黑"/>
                <w:color w:val="000000"/>
                <w:kern w:val="0"/>
                <w:sz w:val="21"/>
                <w:szCs w:val="21"/>
                <w:lang w:eastAsia="zh-CN"/>
              </w:rPr>
              <w:t>全额</w:t>
            </w:r>
            <w:r>
              <w:rPr>
                <w:rFonts w:hint="eastAsia" w:ascii="微软雅黑" w:hAnsi="微软雅黑" w:eastAsia="微软雅黑" w:cs="微软雅黑"/>
                <w:color w:val="000000"/>
                <w:kern w:val="0"/>
                <w:sz w:val="21"/>
                <w:szCs w:val="21"/>
              </w:rPr>
              <w:t>交易价款</w:t>
            </w:r>
            <w:r>
              <w:rPr>
                <w:rFonts w:hint="eastAsia" w:ascii="微软雅黑" w:hAnsi="微软雅黑" w:eastAsia="微软雅黑" w:cs="微软雅黑"/>
                <w:color w:val="000000"/>
                <w:kern w:val="0"/>
                <w:sz w:val="21"/>
                <w:szCs w:val="21"/>
                <w:lang w:eastAsia="zh-CN"/>
              </w:rPr>
              <w:t>至联合利国文交所指定交易结算账户，并与</w:t>
            </w:r>
            <w:r>
              <w:rPr>
                <w:rFonts w:hint="eastAsia" w:ascii="微软雅黑" w:hAnsi="微软雅黑" w:eastAsia="微软雅黑" w:cs="微软雅黑"/>
                <w:color w:val="000000"/>
                <w:kern w:val="0"/>
                <w:sz w:val="21"/>
                <w:szCs w:val="21"/>
              </w:rPr>
              <w:t>转让方签订《资产交易合同》，否则已支付的保证金不予退还；</w:t>
            </w:r>
          </w:p>
          <w:p w14:paraId="0ECA530E">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2、意向受让方若成功受让，在交易价款和交易佣金缴清后5天内撤离所有标的设备，否则未撤离设备均归转让方所有，已支付的交易价款和交易佣金不予退还；</w:t>
            </w:r>
          </w:p>
          <w:p w14:paraId="51530CAD">
            <w:pPr>
              <w:spacing w:line="380" w:lineRule="exact"/>
              <w:textAlignment w:val="baseline"/>
              <w:rPr>
                <w:rFonts w:hint="eastAsia" w:ascii="微软雅黑" w:hAnsi="微软雅黑" w:eastAsia="微软雅黑" w:cs="微软雅黑"/>
                <w:color w:val="000000"/>
                <w:kern w:val="0"/>
                <w:sz w:val="21"/>
                <w:szCs w:val="21"/>
              </w:rPr>
            </w:pPr>
            <w:r>
              <w:rPr>
                <w:rFonts w:hint="eastAsia" w:ascii="微软雅黑" w:hAnsi="微软雅黑" w:eastAsia="微软雅黑" w:cs="微软雅黑"/>
                <w:color w:val="000000"/>
                <w:kern w:val="0"/>
                <w:sz w:val="21"/>
                <w:szCs w:val="21"/>
              </w:rPr>
              <w:t>3、受让方在撤离设备时，不得破坏现有装饰物，自设备搬离且不存在损坏的情况下在5个工作日内原路退还保证金；否则将扣除保证金作为清场费用。</w:t>
            </w:r>
          </w:p>
          <w:p w14:paraId="1C9FEBE6">
            <w:pPr>
              <w:spacing w:line="380" w:lineRule="exact"/>
              <w:textAlignment w:val="baseline"/>
              <w:rPr>
                <w:rFonts w:hint="eastAsia" w:ascii="微软雅黑" w:hAnsi="微软雅黑" w:eastAsia="微软雅黑" w:cs="微软雅黑"/>
                <w:color w:val="000000"/>
                <w:kern w:val="0"/>
                <w:sz w:val="21"/>
                <w:szCs w:val="21"/>
                <w:lang w:eastAsia="zh-CN"/>
              </w:rPr>
            </w:pPr>
            <w:r>
              <w:rPr>
                <w:rFonts w:hint="eastAsia" w:ascii="微软雅黑" w:hAnsi="微软雅黑" w:eastAsia="微软雅黑" w:cs="微软雅黑"/>
                <w:color w:val="000000"/>
                <w:kern w:val="0"/>
                <w:sz w:val="21"/>
                <w:szCs w:val="21"/>
              </w:rPr>
              <w:t>4、本次处置的资产可能存在一定的瑕疵，意向受让方应在本公告规定的展示时间内自行对标的资产进行实地勘验，对标的资产的实际情况以及存在的瑕疵进行充分了解并予以认可，因标的资产瑕疵产生的相关后果由意向受让方自行承担。</w:t>
            </w:r>
          </w:p>
          <w:p w14:paraId="1BD41B34">
            <w:pPr>
              <w:spacing w:line="380" w:lineRule="exact"/>
              <w:textAlignment w:val="baseline"/>
              <w:rPr>
                <w:rFonts w:hint="eastAsia" w:ascii="微软雅黑" w:hAnsi="微软雅黑" w:eastAsia="微软雅黑" w:cs="微软雅黑"/>
                <w:color w:val="000000"/>
                <w:kern w:val="0"/>
                <w:sz w:val="21"/>
                <w:szCs w:val="21"/>
              </w:rPr>
            </w:pPr>
          </w:p>
        </w:tc>
      </w:tr>
      <w:tr w14:paraId="4DBD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4580BEB3">
            <w:pPr>
              <w:spacing w:line="380" w:lineRule="exact"/>
              <w:jc w:val="center"/>
              <w:textAlignment w:val="baseline"/>
              <w:rPr>
                <w:rFonts w:hint="eastAsia" w:ascii="微软雅黑" w:hAnsi="微软雅黑" w:eastAsia="微软雅黑" w:cs="微软雅黑"/>
                <w:sz w:val="21"/>
                <w:szCs w:val="21"/>
              </w:rPr>
            </w:pPr>
            <w:r>
              <w:rPr>
                <w:rFonts w:hint="eastAsia" w:ascii="微软雅黑" w:hAnsi="微软雅黑" w:eastAsia="微软雅黑" w:cs="微软雅黑"/>
                <w:color w:val="000000"/>
                <w:sz w:val="21"/>
                <w:szCs w:val="21"/>
              </w:rPr>
              <w:t>交易方式</w:t>
            </w:r>
          </w:p>
        </w:tc>
      </w:tr>
      <w:tr w14:paraId="6888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9579" w:type="dxa"/>
            <w:gridSpan w:val="10"/>
            <w:vAlign w:val="center"/>
          </w:tcPr>
          <w:p w14:paraId="51F60FDD">
            <w:pPr>
              <w:spacing w:line="360" w:lineRule="exact"/>
              <w:jc w:val="both"/>
              <w:rPr>
                <w:rFonts w:hint="eastAsia" w:ascii="微软雅黑" w:hAnsi="微软雅黑" w:eastAsia="微软雅黑" w:cs="微软雅黑"/>
                <w:i w:val="0"/>
                <w:iCs w:val="0"/>
                <w:caps w:val="0"/>
                <w:color w:val="333333"/>
                <w:spacing w:val="0"/>
                <w:sz w:val="21"/>
                <w:szCs w:val="21"/>
                <w:shd w:val="clear" w:fill="FFFFFF"/>
                <w:lang w:eastAsia="zh-CN"/>
              </w:rPr>
            </w:pPr>
            <w:r>
              <w:rPr>
                <w:rFonts w:hint="eastAsia" w:ascii="微软雅黑" w:hAnsi="微软雅黑" w:eastAsia="微软雅黑" w:cs="微软雅黑"/>
                <w:i w:val="0"/>
                <w:iCs w:val="0"/>
                <w:caps w:val="0"/>
                <w:color w:val="333333"/>
                <w:spacing w:val="0"/>
                <w:sz w:val="21"/>
                <w:szCs w:val="21"/>
                <w:shd w:val="clear" w:fill="FFFFFF"/>
                <w:lang w:val="en-US" w:eastAsia="zh-CN"/>
              </w:rPr>
              <w:t>1、</w:t>
            </w:r>
            <w:r>
              <w:rPr>
                <w:rFonts w:ascii="微软雅黑" w:hAnsi="微软雅黑" w:eastAsia="微软雅黑" w:cs="微软雅黑"/>
                <w:i w:val="0"/>
                <w:iCs w:val="0"/>
                <w:caps w:val="0"/>
                <w:color w:val="333333"/>
                <w:spacing w:val="0"/>
                <w:sz w:val="21"/>
                <w:szCs w:val="21"/>
                <w:shd w:val="clear" w:fill="FFFFFF"/>
              </w:rPr>
              <w:t>信息披露期满,如征集到两个及以上符合条件的意向受让方,选择</w:t>
            </w:r>
            <w:r>
              <w:rPr>
                <w:rFonts w:hint="eastAsia" w:ascii="微软雅黑" w:hAnsi="微软雅黑" w:eastAsia="微软雅黑" w:cs="微软雅黑"/>
                <w:i w:val="0"/>
                <w:iCs w:val="0"/>
                <w:caps w:val="0"/>
                <w:color w:val="333333"/>
                <w:spacing w:val="0"/>
                <w:sz w:val="21"/>
                <w:szCs w:val="21"/>
                <w:shd w:val="clear" w:fill="FFFFFF"/>
                <w:lang w:eastAsia="zh-CN"/>
              </w:rPr>
              <w:t>网络</w:t>
            </w:r>
            <w:r>
              <w:rPr>
                <w:rFonts w:ascii="微软雅黑" w:hAnsi="微软雅黑" w:eastAsia="微软雅黑" w:cs="微软雅黑"/>
                <w:i w:val="0"/>
                <w:iCs w:val="0"/>
                <w:caps w:val="0"/>
                <w:color w:val="333333"/>
                <w:spacing w:val="0"/>
                <w:sz w:val="21"/>
                <w:szCs w:val="21"/>
                <w:shd w:val="clear" w:fill="FFFFFF"/>
              </w:rPr>
              <w:t>竞价方式</w:t>
            </w:r>
            <w:r>
              <w:rPr>
                <w:rFonts w:hint="eastAsia" w:ascii="微软雅黑" w:hAnsi="微软雅黑" w:eastAsia="微软雅黑" w:cs="微软雅黑"/>
                <w:i w:val="0"/>
                <w:iCs w:val="0"/>
                <w:caps w:val="0"/>
                <w:color w:val="333333"/>
                <w:spacing w:val="0"/>
                <w:sz w:val="21"/>
                <w:szCs w:val="21"/>
                <w:shd w:val="clear" w:fill="FFFFFF"/>
                <w:lang w:eastAsia="zh-CN"/>
              </w:rPr>
              <w:t>确定最终受让方；</w:t>
            </w:r>
          </w:p>
          <w:p w14:paraId="3916BF72">
            <w:pPr>
              <w:spacing w:line="360" w:lineRule="exact"/>
              <w:jc w:val="both"/>
              <w:rPr>
                <w:rFonts w:hint="eastAsia" w:ascii="微软雅黑" w:hAnsi="微软雅黑" w:eastAsia="微软雅黑" w:cs="微软雅黑"/>
                <w:i w:val="0"/>
                <w:iCs w:val="0"/>
                <w:caps w:val="0"/>
                <w:color w:val="333333"/>
                <w:spacing w:val="0"/>
                <w:sz w:val="21"/>
                <w:szCs w:val="21"/>
                <w:shd w:val="clear" w:fill="FFFFFF"/>
              </w:rPr>
            </w:pPr>
            <w:r>
              <w:rPr>
                <w:rFonts w:hint="eastAsia" w:ascii="微软雅黑" w:hAnsi="微软雅黑" w:eastAsia="微软雅黑" w:cs="微软雅黑"/>
                <w:i w:val="0"/>
                <w:iCs w:val="0"/>
                <w:caps w:val="0"/>
                <w:color w:val="333333"/>
                <w:spacing w:val="0"/>
                <w:sz w:val="21"/>
                <w:szCs w:val="21"/>
                <w:shd w:val="clear" w:fill="FFFFFF"/>
                <w:lang w:val="en-US" w:eastAsia="zh-CN"/>
              </w:rPr>
              <w:t>2、</w:t>
            </w:r>
            <w:r>
              <w:rPr>
                <w:rFonts w:hint="eastAsia" w:ascii="微软雅黑" w:hAnsi="微软雅黑" w:eastAsia="微软雅黑" w:cs="微软雅黑"/>
                <w:i w:val="0"/>
                <w:iCs w:val="0"/>
                <w:caps w:val="0"/>
                <w:color w:val="333333"/>
                <w:spacing w:val="0"/>
                <w:sz w:val="21"/>
                <w:szCs w:val="21"/>
                <w:shd w:val="clear" w:fill="FFFFFF"/>
              </w:rPr>
              <w:t>在权利人放弃优先购买权的情况下，如仅征集到1个符合条件的意向受让方，</w:t>
            </w:r>
            <w:r>
              <w:rPr>
                <w:rFonts w:hint="eastAsia" w:ascii="微软雅黑" w:hAnsi="微软雅黑" w:eastAsia="微软雅黑" w:cs="微软雅黑"/>
                <w:i w:val="0"/>
                <w:iCs w:val="0"/>
                <w:caps w:val="0"/>
                <w:color w:val="333333"/>
                <w:spacing w:val="0"/>
                <w:sz w:val="21"/>
                <w:szCs w:val="21"/>
                <w:shd w:val="clear" w:fill="FFFFFF"/>
                <w:lang w:eastAsia="zh-CN"/>
              </w:rPr>
              <w:t>则按转让底价成交。</w:t>
            </w:r>
          </w:p>
          <w:p w14:paraId="061D1805">
            <w:pPr>
              <w:spacing w:line="300" w:lineRule="exact"/>
              <w:ind w:firstLine="420" w:firstLineChars="200"/>
              <w:rPr>
                <w:rFonts w:hint="eastAsia" w:ascii="微软雅黑" w:hAnsi="微软雅黑" w:eastAsia="微软雅黑" w:cs="微软雅黑"/>
                <w:sz w:val="21"/>
                <w:szCs w:val="21"/>
              </w:rPr>
            </w:pPr>
          </w:p>
          <w:p w14:paraId="5D983CAB">
            <w:pPr>
              <w:spacing w:line="380" w:lineRule="exact"/>
              <w:textAlignment w:val="baseline"/>
              <w:rPr>
                <w:rFonts w:hint="eastAsia" w:ascii="微软雅黑" w:hAnsi="微软雅黑" w:eastAsia="微软雅黑" w:cs="微软雅黑"/>
                <w:color w:val="000000"/>
                <w:sz w:val="21"/>
                <w:szCs w:val="21"/>
                <w:u w:val="single"/>
              </w:rPr>
            </w:pPr>
          </w:p>
        </w:tc>
      </w:tr>
      <w:tr w14:paraId="219E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095FD278">
            <w:pPr>
              <w:spacing w:line="360" w:lineRule="exact"/>
              <w:jc w:val="center"/>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交易保证金</w:t>
            </w:r>
          </w:p>
        </w:tc>
      </w:tr>
      <w:tr w14:paraId="4253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2A4CB5AF">
            <w:pPr>
              <w:spacing w:line="480" w:lineRule="exact"/>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 xml:space="preserve"> 交纳保证金</w:t>
            </w:r>
          </w:p>
        </w:tc>
        <w:tc>
          <w:tcPr>
            <w:tcW w:w="7956" w:type="dxa"/>
            <w:gridSpan w:val="8"/>
          </w:tcPr>
          <w:p w14:paraId="571FDC9D">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 xml:space="preserve"> </w:t>
            </w:r>
            <w:r>
              <w:rPr>
                <w:rFonts w:hint="eastAsia" w:ascii="微软雅黑" w:hAnsi="微软雅黑" w:eastAsia="微软雅黑" w:cs="微软雅黑"/>
                <w:sz w:val="21"/>
                <w:szCs w:val="21"/>
              </w:rPr>
              <w:sym w:font="Wingdings 2" w:char="0052"/>
            </w:r>
            <w:r>
              <w:rPr>
                <w:rFonts w:hint="eastAsia" w:ascii="微软雅黑" w:hAnsi="微软雅黑" w:eastAsia="微软雅黑" w:cs="微软雅黑"/>
                <w:sz w:val="21"/>
                <w:szCs w:val="21"/>
              </w:rPr>
              <w:t xml:space="preserve">是   </w:t>
            </w:r>
            <w:r>
              <w:rPr>
                <w:rFonts w:hint="eastAsia" w:ascii="微软雅黑" w:hAnsi="微软雅黑" w:eastAsia="微软雅黑" w:cs="微软雅黑"/>
                <w:sz w:val="21"/>
                <w:szCs w:val="21"/>
              </w:rPr>
              <w:sym w:font="Wingdings 2" w:char="00A3"/>
            </w:r>
            <w:r>
              <w:rPr>
                <w:rFonts w:hint="eastAsia" w:ascii="微软雅黑" w:hAnsi="微软雅黑" w:eastAsia="微软雅黑" w:cs="微软雅黑"/>
                <w:sz w:val="21"/>
                <w:szCs w:val="21"/>
              </w:rPr>
              <w:t>否</w:t>
            </w:r>
          </w:p>
        </w:tc>
      </w:tr>
      <w:tr w14:paraId="7CF1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24B03198">
            <w:pPr>
              <w:spacing w:line="480" w:lineRule="exact"/>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 xml:space="preserve"> 保证金金额</w:t>
            </w:r>
          </w:p>
        </w:tc>
        <w:tc>
          <w:tcPr>
            <w:tcW w:w="7956" w:type="dxa"/>
            <w:gridSpan w:val="8"/>
          </w:tcPr>
          <w:p w14:paraId="1AC3CF42">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设定为</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u w:val="single"/>
                <w:lang w:val="en-US" w:eastAsia="zh-CN"/>
              </w:rPr>
              <w:t>2</w:t>
            </w:r>
            <w:r>
              <w:rPr>
                <w:rFonts w:hint="eastAsia" w:ascii="微软雅黑" w:hAnsi="微软雅黑" w:eastAsia="微软雅黑" w:cs="微软雅黑"/>
                <w:color w:val="000000"/>
                <w:sz w:val="21"/>
                <w:szCs w:val="21"/>
                <w:u w:val="single"/>
              </w:rPr>
              <w:t xml:space="preserve">  </w:t>
            </w:r>
            <w:r>
              <w:rPr>
                <w:rFonts w:hint="eastAsia" w:ascii="微软雅黑" w:hAnsi="微软雅黑" w:eastAsia="微软雅黑" w:cs="微软雅黑"/>
                <w:color w:val="000000"/>
                <w:sz w:val="21"/>
                <w:szCs w:val="21"/>
              </w:rPr>
              <w:t>万元</w:t>
            </w:r>
          </w:p>
        </w:tc>
      </w:tr>
      <w:tr w14:paraId="1798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77364CE4">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交纳时间</w:t>
            </w:r>
          </w:p>
        </w:tc>
        <w:tc>
          <w:tcPr>
            <w:tcW w:w="7956" w:type="dxa"/>
            <w:gridSpan w:val="8"/>
            <w:vAlign w:val="center"/>
          </w:tcPr>
          <w:p w14:paraId="61D1C7E2">
            <w:pPr>
              <w:spacing w:line="480" w:lineRule="exact"/>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意向受让方在信息发布截止日17：00前交纳保证金（以到达指定账户时间为准）</w:t>
            </w:r>
          </w:p>
        </w:tc>
      </w:tr>
      <w:tr w14:paraId="5393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3735E586">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b/>
                <w:color w:val="000000"/>
                <w:sz w:val="21"/>
                <w:szCs w:val="21"/>
              </w:rPr>
              <w:t>保证金约定</w:t>
            </w:r>
          </w:p>
        </w:tc>
        <w:tc>
          <w:tcPr>
            <w:tcW w:w="7956" w:type="dxa"/>
            <w:gridSpan w:val="8"/>
            <w:vAlign w:val="center"/>
          </w:tcPr>
          <w:p w14:paraId="0E09D464">
            <w:pPr>
              <w:spacing w:line="38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如成为最终受让方：其交纳的保证金扣除交易服务费后自动转为交易价款的一部分；</w:t>
            </w:r>
          </w:p>
          <w:p w14:paraId="5EDD2421">
            <w:pPr>
              <w:spacing w:line="380" w:lineRule="exact"/>
              <w:textAlignment w:val="baseline"/>
              <w:rPr>
                <w:rFonts w:hint="eastAsia" w:ascii="微软雅黑" w:hAnsi="微软雅黑" w:eastAsia="微软雅黑" w:cs="微软雅黑"/>
                <w:color w:val="000000"/>
                <w:sz w:val="21"/>
                <w:szCs w:val="21"/>
              </w:rPr>
            </w:pPr>
            <w:r>
              <w:rPr>
                <w:rFonts w:hint="eastAsia" w:ascii="微软雅黑" w:hAnsi="微软雅黑" w:eastAsia="微软雅黑" w:cs="微软雅黑"/>
                <w:sz w:val="21"/>
                <w:szCs w:val="21"/>
              </w:rPr>
              <w:t>如未成为最终受让方：其交纳的保证金3个工作日内原路无息退回。</w:t>
            </w:r>
          </w:p>
        </w:tc>
      </w:tr>
      <w:tr w14:paraId="0E99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48109D9B">
            <w:pPr>
              <w:spacing w:line="480" w:lineRule="exact"/>
              <w:jc w:val="center"/>
              <w:rPr>
                <w:rFonts w:hint="eastAsia" w:ascii="微软雅黑" w:hAnsi="微软雅黑" w:eastAsia="微软雅黑" w:cs="微软雅黑"/>
                <w:b/>
                <w:color w:val="000000"/>
                <w:sz w:val="21"/>
                <w:szCs w:val="21"/>
              </w:rPr>
            </w:pPr>
            <w:r>
              <w:rPr>
                <w:rFonts w:hint="eastAsia" w:ascii="微软雅黑" w:hAnsi="微软雅黑" w:eastAsia="微软雅黑" w:cs="微软雅黑"/>
                <w:color w:val="000000"/>
                <w:sz w:val="21"/>
                <w:szCs w:val="21"/>
              </w:rPr>
              <w:t>资产管理方委托及承诺事项</w:t>
            </w:r>
          </w:p>
        </w:tc>
      </w:tr>
      <w:tr w14:paraId="1FD5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37C7B55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本单位将上述资产委托联合利国文化产权交易所公开挂牌处置，并承诺如下：</w:t>
            </w:r>
          </w:p>
          <w:p w14:paraId="6B0F36C2">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1、</w:t>
            </w:r>
            <w:r>
              <w:rPr>
                <w:rFonts w:hint="eastAsia" w:ascii="微软雅黑" w:hAnsi="微软雅黑" w:eastAsia="微软雅黑" w:cs="微软雅黑"/>
                <w:sz w:val="21"/>
                <w:szCs w:val="21"/>
              </w:rPr>
              <w:t>我方</w:t>
            </w:r>
            <w:r>
              <w:rPr>
                <w:rFonts w:hint="eastAsia" w:ascii="微软雅黑" w:hAnsi="微软雅黑" w:eastAsia="微软雅黑" w:cs="微软雅黑"/>
                <w:color w:val="000000"/>
                <w:sz w:val="21"/>
                <w:szCs w:val="21"/>
              </w:rPr>
              <w:t xml:space="preserve">处置资产权属清晰，对该资产拥有完全的处置权，无任何限制和纠纷。 </w:t>
            </w:r>
          </w:p>
          <w:p w14:paraId="2B0DFB10">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2、我方处置资产的相关行为已履行相应程序，经过有效的决策，并获得相应批准；</w:t>
            </w:r>
          </w:p>
          <w:p w14:paraId="425DA41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3、我方向贵所提交的资料内容真实、完整、合法、有效，不存在虚假记载、误导性陈述或重大遗漏；</w:t>
            </w:r>
          </w:p>
          <w:p w14:paraId="12972753">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4、我方在资产处置过程中，同意遵守相关法律法规和联合利国</w:t>
            </w:r>
            <w:r>
              <w:rPr>
                <w:rFonts w:hint="eastAsia" w:ascii="微软雅黑" w:hAnsi="微软雅黑" w:eastAsia="微软雅黑" w:cs="微软雅黑"/>
                <w:sz w:val="21"/>
                <w:szCs w:val="21"/>
              </w:rPr>
              <w:t>文化产权交易所交易规则及相关细则</w:t>
            </w:r>
            <w:r>
              <w:rPr>
                <w:rFonts w:hint="eastAsia" w:ascii="微软雅黑" w:hAnsi="微软雅黑" w:eastAsia="微软雅黑" w:cs="微软雅黑"/>
                <w:color w:val="000000"/>
                <w:sz w:val="21"/>
                <w:szCs w:val="21"/>
              </w:rPr>
              <w:t>，按照有关要求履行我方义务；</w:t>
            </w:r>
          </w:p>
          <w:p w14:paraId="346A8346">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5、如在项目进行中出现纠纷，同意依据联合利国文化产权交易所相关规定，接受联合利国文化产权交易所作出的中止或终结项目的决定。</w:t>
            </w:r>
          </w:p>
          <w:p w14:paraId="3D0199A1">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如我方违反上述承诺，愿意承担相应法律和经济责任。</w:t>
            </w:r>
          </w:p>
          <w:p w14:paraId="7A4849F0">
            <w:pPr>
              <w:spacing w:line="480" w:lineRule="exact"/>
              <w:rPr>
                <w:rFonts w:hint="eastAsia" w:ascii="微软雅黑" w:hAnsi="微软雅黑" w:eastAsia="微软雅黑" w:cs="微软雅黑"/>
                <w:color w:val="000000"/>
                <w:sz w:val="21"/>
                <w:szCs w:val="21"/>
              </w:rPr>
            </w:pPr>
          </w:p>
          <w:p w14:paraId="3487D1B9">
            <w:pPr>
              <w:spacing w:line="480" w:lineRule="exact"/>
              <w:ind w:firstLine="3360" w:firstLineChars="16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资产管理方（签章）：                                  </w:t>
            </w:r>
          </w:p>
          <w:p w14:paraId="148112CC">
            <w:pPr>
              <w:spacing w:line="480" w:lineRule="exact"/>
              <w:ind w:firstLine="420" w:firstLineChars="2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法人代表/负责人或授权代表：</w:t>
            </w:r>
          </w:p>
          <w:p w14:paraId="01C20570">
            <w:pPr>
              <w:spacing w:line="480" w:lineRule="exact"/>
              <w:ind w:firstLine="3150" w:firstLineChars="1500"/>
              <w:rPr>
                <w:rFonts w:hint="eastAsia" w:ascii="微软雅黑" w:hAnsi="微软雅黑" w:eastAsia="微软雅黑" w:cs="微软雅黑"/>
                <w:color w:val="000000"/>
                <w:sz w:val="21"/>
                <w:szCs w:val="21"/>
              </w:rPr>
            </w:pPr>
            <w:r>
              <w:rPr>
                <w:rFonts w:hint="eastAsia" w:ascii="微软雅黑" w:hAnsi="微软雅黑" w:eastAsia="微软雅黑" w:cs="微软雅黑"/>
                <w:color w:val="000000"/>
                <w:sz w:val="21"/>
                <w:szCs w:val="21"/>
              </w:rPr>
              <w:t xml:space="preserve">         申请日期：   年   月   日</w:t>
            </w:r>
          </w:p>
          <w:p w14:paraId="00B000AC">
            <w:pPr>
              <w:spacing w:line="480" w:lineRule="exact"/>
              <w:rPr>
                <w:rFonts w:hint="eastAsia" w:ascii="微软雅黑" w:hAnsi="微软雅黑" w:eastAsia="微软雅黑" w:cs="微软雅黑"/>
                <w:b/>
                <w:color w:val="000000"/>
                <w:sz w:val="21"/>
                <w:szCs w:val="21"/>
              </w:rPr>
            </w:pPr>
          </w:p>
        </w:tc>
      </w:tr>
      <w:bookmarkEnd w:id="0"/>
      <w:bookmarkEnd w:id="1"/>
    </w:tbl>
    <w:p w14:paraId="1D49FACF">
      <w:pPr>
        <w:adjustRightInd w:val="0"/>
        <w:snapToGrid w:val="0"/>
        <w:rPr>
          <w:rFonts w:hint="eastAsia" w:ascii="微软雅黑" w:hAnsi="微软雅黑" w:eastAsia="微软雅黑" w:cs="微软雅黑"/>
          <w:sz w:val="21"/>
          <w:szCs w:val="21"/>
        </w:rPr>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decorative"/>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2061843A">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7D39942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8C8AD">
    <w:pPr>
      <w:pStyle w:val="4"/>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3A0A47F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hNDBmOTg2MWZjZTI0NGRmZGI1NzAxMGU1MTg5ZDQifQ=="/>
  </w:docVars>
  <w:rsids>
    <w:rsidRoot w:val="00790464"/>
    <w:rsid w:val="000010B8"/>
    <w:rsid w:val="00014610"/>
    <w:rsid w:val="00023111"/>
    <w:rsid w:val="00024422"/>
    <w:rsid w:val="00043E0F"/>
    <w:rsid w:val="00046C02"/>
    <w:rsid w:val="00053E3F"/>
    <w:rsid w:val="00086C01"/>
    <w:rsid w:val="0009150D"/>
    <w:rsid w:val="00093B8C"/>
    <w:rsid w:val="000A0108"/>
    <w:rsid w:val="000A6474"/>
    <w:rsid w:val="000A6B7A"/>
    <w:rsid w:val="000B0973"/>
    <w:rsid w:val="000B5148"/>
    <w:rsid w:val="000D5456"/>
    <w:rsid w:val="000E2A70"/>
    <w:rsid w:val="000F3755"/>
    <w:rsid w:val="00104952"/>
    <w:rsid w:val="0011443E"/>
    <w:rsid w:val="00120BED"/>
    <w:rsid w:val="00141137"/>
    <w:rsid w:val="00145BA5"/>
    <w:rsid w:val="00146F89"/>
    <w:rsid w:val="00147AA1"/>
    <w:rsid w:val="0015788A"/>
    <w:rsid w:val="00163810"/>
    <w:rsid w:val="00166CBF"/>
    <w:rsid w:val="00191CEA"/>
    <w:rsid w:val="001A2240"/>
    <w:rsid w:val="001B00FC"/>
    <w:rsid w:val="001B2006"/>
    <w:rsid w:val="001C4D35"/>
    <w:rsid w:val="001E1F8E"/>
    <w:rsid w:val="00200956"/>
    <w:rsid w:val="00207904"/>
    <w:rsid w:val="00227AE2"/>
    <w:rsid w:val="00247445"/>
    <w:rsid w:val="0026075E"/>
    <w:rsid w:val="002720DF"/>
    <w:rsid w:val="00281F6D"/>
    <w:rsid w:val="002B1695"/>
    <w:rsid w:val="002C18B5"/>
    <w:rsid w:val="002D3AE0"/>
    <w:rsid w:val="002F10F6"/>
    <w:rsid w:val="003016BF"/>
    <w:rsid w:val="00316456"/>
    <w:rsid w:val="0033218D"/>
    <w:rsid w:val="00343EBE"/>
    <w:rsid w:val="00357A8A"/>
    <w:rsid w:val="0036786E"/>
    <w:rsid w:val="00371A68"/>
    <w:rsid w:val="003A26B1"/>
    <w:rsid w:val="003A6756"/>
    <w:rsid w:val="003F1740"/>
    <w:rsid w:val="003F5DFB"/>
    <w:rsid w:val="00403177"/>
    <w:rsid w:val="004141EE"/>
    <w:rsid w:val="00425B74"/>
    <w:rsid w:val="0044179E"/>
    <w:rsid w:val="00452BD8"/>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7338F"/>
    <w:rsid w:val="0059184A"/>
    <w:rsid w:val="005A0B30"/>
    <w:rsid w:val="005B6816"/>
    <w:rsid w:val="005C3B0D"/>
    <w:rsid w:val="005C4C48"/>
    <w:rsid w:val="005D1D4A"/>
    <w:rsid w:val="005E07E8"/>
    <w:rsid w:val="006110EA"/>
    <w:rsid w:val="00614C7D"/>
    <w:rsid w:val="00621CBA"/>
    <w:rsid w:val="006239DF"/>
    <w:rsid w:val="00624B01"/>
    <w:rsid w:val="00642AD3"/>
    <w:rsid w:val="00652264"/>
    <w:rsid w:val="00656EAF"/>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214DC"/>
    <w:rsid w:val="00C32D83"/>
    <w:rsid w:val="00C42196"/>
    <w:rsid w:val="00C464D9"/>
    <w:rsid w:val="00C6064E"/>
    <w:rsid w:val="00C668D4"/>
    <w:rsid w:val="00C67742"/>
    <w:rsid w:val="00C8770C"/>
    <w:rsid w:val="00C91253"/>
    <w:rsid w:val="00C94CA9"/>
    <w:rsid w:val="00CA481A"/>
    <w:rsid w:val="00CB5178"/>
    <w:rsid w:val="00CE0D75"/>
    <w:rsid w:val="00CF6DE8"/>
    <w:rsid w:val="00D12AEC"/>
    <w:rsid w:val="00D20BF1"/>
    <w:rsid w:val="00D21E3F"/>
    <w:rsid w:val="00D25820"/>
    <w:rsid w:val="00D30D4C"/>
    <w:rsid w:val="00D333EE"/>
    <w:rsid w:val="00D338EA"/>
    <w:rsid w:val="00D508D4"/>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AF3335"/>
    <w:rsid w:val="02D3638E"/>
    <w:rsid w:val="030801C7"/>
    <w:rsid w:val="0342672B"/>
    <w:rsid w:val="0354043F"/>
    <w:rsid w:val="03E414F7"/>
    <w:rsid w:val="041D34B1"/>
    <w:rsid w:val="043639AB"/>
    <w:rsid w:val="058D2149"/>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F2619E"/>
    <w:rsid w:val="08FD2829"/>
    <w:rsid w:val="094C3229"/>
    <w:rsid w:val="09603341"/>
    <w:rsid w:val="09723EE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5163E9"/>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A754CBE"/>
    <w:rsid w:val="1B242F44"/>
    <w:rsid w:val="1B762D07"/>
    <w:rsid w:val="1BAA67A2"/>
    <w:rsid w:val="1BB6752B"/>
    <w:rsid w:val="1C302A04"/>
    <w:rsid w:val="1C38507B"/>
    <w:rsid w:val="1C444661"/>
    <w:rsid w:val="1C4B69F4"/>
    <w:rsid w:val="1C9D4D14"/>
    <w:rsid w:val="1CFD502E"/>
    <w:rsid w:val="1DAF3467"/>
    <w:rsid w:val="1DBE0167"/>
    <w:rsid w:val="1DC15DE5"/>
    <w:rsid w:val="1E1C3549"/>
    <w:rsid w:val="1E4E5992"/>
    <w:rsid w:val="1EAA5DD0"/>
    <w:rsid w:val="1ED1758D"/>
    <w:rsid w:val="1EE76746"/>
    <w:rsid w:val="1F3B7BAA"/>
    <w:rsid w:val="1F663458"/>
    <w:rsid w:val="1FA75752"/>
    <w:rsid w:val="1FC35AFC"/>
    <w:rsid w:val="1FE85E0B"/>
    <w:rsid w:val="202C2643"/>
    <w:rsid w:val="202D7D92"/>
    <w:rsid w:val="204272B6"/>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85906"/>
    <w:rsid w:val="23EB3239"/>
    <w:rsid w:val="24644F69"/>
    <w:rsid w:val="25366BA0"/>
    <w:rsid w:val="2575559D"/>
    <w:rsid w:val="25A063E6"/>
    <w:rsid w:val="25B012B2"/>
    <w:rsid w:val="26166FE7"/>
    <w:rsid w:val="263A5781"/>
    <w:rsid w:val="266E1A48"/>
    <w:rsid w:val="26B10867"/>
    <w:rsid w:val="26C06765"/>
    <w:rsid w:val="26C77BAF"/>
    <w:rsid w:val="26D67325"/>
    <w:rsid w:val="26F06AAA"/>
    <w:rsid w:val="26FE4A9E"/>
    <w:rsid w:val="270F7146"/>
    <w:rsid w:val="272F7241"/>
    <w:rsid w:val="273529E4"/>
    <w:rsid w:val="27980CAE"/>
    <w:rsid w:val="27C23FF4"/>
    <w:rsid w:val="27E9034B"/>
    <w:rsid w:val="27F711FE"/>
    <w:rsid w:val="280A36C2"/>
    <w:rsid w:val="280F02BF"/>
    <w:rsid w:val="28230973"/>
    <w:rsid w:val="285D3006"/>
    <w:rsid w:val="288243D2"/>
    <w:rsid w:val="28832A69"/>
    <w:rsid w:val="2886653D"/>
    <w:rsid w:val="289202C7"/>
    <w:rsid w:val="28C70EAE"/>
    <w:rsid w:val="28E077FF"/>
    <w:rsid w:val="29096866"/>
    <w:rsid w:val="29696031"/>
    <w:rsid w:val="297837E2"/>
    <w:rsid w:val="29907BC4"/>
    <w:rsid w:val="2A0D4C68"/>
    <w:rsid w:val="2A106B77"/>
    <w:rsid w:val="2A256738"/>
    <w:rsid w:val="2A4B40C5"/>
    <w:rsid w:val="2A825147"/>
    <w:rsid w:val="2ADA5F7A"/>
    <w:rsid w:val="2B031B05"/>
    <w:rsid w:val="2B2B5BB6"/>
    <w:rsid w:val="2B53636C"/>
    <w:rsid w:val="2B6275CF"/>
    <w:rsid w:val="2B793DBD"/>
    <w:rsid w:val="2BD07767"/>
    <w:rsid w:val="2C027745"/>
    <w:rsid w:val="2C146B8E"/>
    <w:rsid w:val="2C54538A"/>
    <w:rsid w:val="2C7A48BD"/>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0851F15"/>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534979"/>
    <w:rsid w:val="3BDE5077"/>
    <w:rsid w:val="3C002732"/>
    <w:rsid w:val="3C6E13C1"/>
    <w:rsid w:val="3CAC1C64"/>
    <w:rsid w:val="3CCE207A"/>
    <w:rsid w:val="3CF53309"/>
    <w:rsid w:val="3D5273E6"/>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D61170"/>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1CB8"/>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30DEA"/>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3A305A"/>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8612C2"/>
    <w:rsid w:val="59AB3409"/>
    <w:rsid w:val="5A0E0980"/>
    <w:rsid w:val="5A5C0DF7"/>
    <w:rsid w:val="5AAC3E65"/>
    <w:rsid w:val="5AB26144"/>
    <w:rsid w:val="5AC030CF"/>
    <w:rsid w:val="5AD55A9F"/>
    <w:rsid w:val="5AF20ED7"/>
    <w:rsid w:val="5B103419"/>
    <w:rsid w:val="5B236C80"/>
    <w:rsid w:val="5B3D1E12"/>
    <w:rsid w:val="5B7D1C80"/>
    <w:rsid w:val="5BA00201"/>
    <w:rsid w:val="5C64497C"/>
    <w:rsid w:val="5C802D8A"/>
    <w:rsid w:val="5CB85642"/>
    <w:rsid w:val="5CD549BD"/>
    <w:rsid w:val="5CE367C3"/>
    <w:rsid w:val="5D097C0E"/>
    <w:rsid w:val="5D587D6F"/>
    <w:rsid w:val="5D921888"/>
    <w:rsid w:val="5E5D2C68"/>
    <w:rsid w:val="5EA721B2"/>
    <w:rsid w:val="5EBF6555"/>
    <w:rsid w:val="5F11071A"/>
    <w:rsid w:val="5F192645"/>
    <w:rsid w:val="5F9E0A15"/>
    <w:rsid w:val="5FAC0675"/>
    <w:rsid w:val="6048101F"/>
    <w:rsid w:val="605B2CDE"/>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A38BC"/>
    <w:rsid w:val="651F1292"/>
    <w:rsid w:val="65266429"/>
    <w:rsid w:val="65A868A6"/>
    <w:rsid w:val="65AA2420"/>
    <w:rsid w:val="65CE6989"/>
    <w:rsid w:val="660E4690"/>
    <w:rsid w:val="66670356"/>
    <w:rsid w:val="666D1C5B"/>
    <w:rsid w:val="667062CE"/>
    <w:rsid w:val="66AB2446"/>
    <w:rsid w:val="67135635"/>
    <w:rsid w:val="67394079"/>
    <w:rsid w:val="673D1349"/>
    <w:rsid w:val="674063B3"/>
    <w:rsid w:val="675947CD"/>
    <w:rsid w:val="67F635CE"/>
    <w:rsid w:val="68290467"/>
    <w:rsid w:val="686C79FD"/>
    <w:rsid w:val="68B70F96"/>
    <w:rsid w:val="69246C5B"/>
    <w:rsid w:val="69310A84"/>
    <w:rsid w:val="69E4173C"/>
    <w:rsid w:val="6A082616"/>
    <w:rsid w:val="6A4B22C7"/>
    <w:rsid w:val="6A531AFC"/>
    <w:rsid w:val="6AF75429"/>
    <w:rsid w:val="6AFC7388"/>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046D1"/>
    <w:rsid w:val="73032956"/>
    <w:rsid w:val="733D5F8B"/>
    <w:rsid w:val="73E921A8"/>
    <w:rsid w:val="741075B3"/>
    <w:rsid w:val="74787477"/>
    <w:rsid w:val="74AD0DD8"/>
    <w:rsid w:val="74B013A4"/>
    <w:rsid w:val="74F87CA0"/>
    <w:rsid w:val="753F5BEB"/>
    <w:rsid w:val="756C1B95"/>
    <w:rsid w:val="75705AAF"/>
    <w:rsid w:val="75B271F3"/>
    <w:rsid w:val="75B93772"/>
    <w:rsid w:val="75F74A34"/>
    <w:rsid w:val="76194B6A"/>
    <w:rsid w:val="764879E2"/>
    <w:rsid w:val="76BF2D5B"/>
    <w:rsid w:val="770E0341"/>
    <w:rsid w:val="77332061"/>
    <w:rsid w:val="77514B17"/>
    <w:rsid w:val="778D14C9"/>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C97E3E"/>
    <w:rsid w:val="7ADD56FC"/>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 w:val="7FC17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7"/>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21"/>
    <w:autoRedefine/>
    <w:unhideWhenUsed/>
    <w:qFormat/>
    <w:uiPriority w:val="99"/>
    <w:rPr>
      <w:sz w:val="18"/>
      <w:szCs w:val="18"/>
    </w:rPr>
  </w:style>
  <w:style w:type="paragraph" w:styleId="4">
    <w:name w:val="footer"/>
    <w:basedOn w:val="1"/>
    <w:link w:val="13"/>
    <w:autoRedefine/>
    <w:qFormat/>
    <w:uiPriority w:val="99"/>
    <w:pPr>
      <w:tabs>
        <w:tab w:val="center" w:pos="4153"/>
        <w:tab w:val="right" w:pos="8306"/>
      </w:tabs>
      <w:snapToGrid w:val="0"/>
      <w:jc w:val="left"/>
    </w:pPr>
    <w:rPr>
      <w:sz w:val="18"/>
      <w:szCs w:val="18"/>
    </w:rPr>
  </w:style>
  <w:style w:type="paragraph" w:styleId="5">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rPr>
  </w:style>
  <w:style w:type="character" w:styleId="11">
    <w:name w:val="page number"/>
    <w:basedOn w:val="9"/>
    <w:autoRedefine/>
    <w:qFormat/>
    <w:uiPriority w:val="0"/>
  </w:style>
  <w:style w:type="character" w:styleId="12">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3">
    <w:name w:val="页脚 字符"/>
    <w:basedOn w:val="9"/>
    <w:link w:val="4"/>
    <w:autoRedefine/>
    <w:qFormat/>
    <w:uiPriority w:val="99"/>
    <w:rPr>
      <w:rFonts w:ascii="Times New Roman" w:hAnsi="Times New Roman" w:eastAsia="宋体" w:cs="Times New Roman"/>
      <w:sz w:val="18"/>
      <w:szCs w:val="18"/>
    </w:rPr>
  </w:style>
  <w:style w:type="paragraph" w:customStyle="1" w:styleId="14">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5">
    <w:name w:val="正文表格"/>
    <w:basedOn w:val="1"/>
    <w:autoRedefine/>
    <w:qFormat/>
    <w:uiPriority w:val="0"/>
    <w:pPr>
      <w:spacing w:before="60" w:after="60"/>
    </w:pPr>
    <w:rPr>
      <w:sz w:val="24"/>
    </w:rPr>
  </w:style>
  <w:style w:type="character" w:customStyle="1" w:styleId="16">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7">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8">
    <w:name w:val="列出段落1"/>
    <w:basedOn w:val="1"/>
    <w:autoRedefine/>
    <w:qFormat/>
    <w:uiPriority w:val="99"/>
    <w:pPr>
      <w:ind w:firstLine="420" w:firstLineChars="200"/>
    </w:pPr>
  </w:style>
  <w:style w:type="character" w:customStyle="1" w:styleId="19">
    <w:name w:val="font6"/>
    <w:basedOn w:val="9"/>
    <w:autoRedefine/>
    <w:qFormat/>
    <w:uiPriority w:val="0"/>
  </w:style>
  <w:style w:type="character" w:customStyle="1" w:styleId="20">
    <w:name w:val="font5"/>
    <w:basedOn w:val="9"/>
    <w:autoRedefine/>
    <w:qFormat/>
    <w:uiPriority w:val="0"/>
  </w:style>
  <w:style w:type="character" w:customStyle="1" w:styleId="21">
    <w:name w:val="批注框文本 字符"/>
    <w:basedOn w:val="9"/>
    <w:link w:val="3"/>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404</Words>
  <Characters>455</Characters>
  <Lines>14</Lines>
  <Paragraphs>4</Paragraphs>
  <TotalTime>0</TotalTime>
  <ScaleCrop>false</ScaleCrop>
  <LinksUpToDate>false</LinksUpToDate>
  <CharactersWithSpaces>506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2024-03-07T15:43:00Z</dcterms:created>
  <dc:creator>yjhe</dc:creator>
  <cp:lastModifiedBy>dasiy</cp:lastModifiedBy>
  <cp:lastPrinted>2019-08-14T07:32:00Z</cp:lastPrinted>
  <dcterms:modified xsi:type="dcterms:W3CDTF">2026-10-22T03:31:54Z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D7A93CDCEA494C699148D1DB93F04F42_13</vt:lpwstr>
  </property>
  <property fmtid="{D5CDD505-2E9C-101B-9397-08002B2CF9AE}" pid="4" name="KSOTemplateDocerSaveRecord">
    <vt:lpwstr>eyJoZGlkIjoiMDExY2M2NGY2ZjFjM2Q5OTNiYTFlNGZhZjBjYjFiMzAiLCJ1c2VySWQiOiIzNzU3NzYwMjAifQ==</vt:lpwstr>
  </property>
</Properties>
</file>