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2542E">
      <w:pPr>
        <w:jc w:val="center"/>
        <w:rPr>
          <w:rFonts w:ascii="方正小标宋_GBK" w:hAnsi="方正小标宋_GBK" w:eastAsia="方正小标宋_GBK" w:cs="方正小标宋_GBK"/>
          <w:b/>
          <w:sz w:val="24"/>
          <w:szCs w:val="24"/>
        </w:rPr>
      </w:pPr>
      <w:bookmarkStart w:id="0" w:name="OLE_LINK7"/>
      <w:bookmarkStart w:id="1" w:name="OLE_LINK8"/>
      <w:r>
        <w:rPr>
          <w:rFonts w:hint="eastAsia" w:ascii="方正小标宋_GBK" w:hAnsi="方正小标宋_GBK" w:eastAsia="方正小标宋_GBK" w:cs="方正小标宋_GBK"/>
          <w:b/>
          <w:sz w:val="44"/>
          <w:szCs w:val="44"/>
        </w:rPr>
        <w:t xml:space="preserve"> 企业国有资产挂牌处置</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376"/>
        <w:gridCol w:w="1042"/>
        <w:gridCol w:w="123"/>
        <w:gridCol w:w="695"/>
        <w:gridCol w:w="2699"/>
      </w:tblGrid>
      <w:tr w14:paraId="7BF76ED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14:paraId="4B4980D8">
            <w:pPr>
              <w:spacing w:line="360" w:lineRule="exact"/>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  </w:t>
            </w:r>
            <w:r>
              <w:rPr>
                <w:rFonts w:hint="eastAsia" w:ascii="微软雅黑" w:hAnsi="微软雅黑" w:eastAsia="微软雅黑" w:cs="微软雅黑"/>
                <w:color w:val="000000"/>
                <w:sz w:val="21"/>
                <w:szCs w:val="21"/>
                <w:lang w:val="en-US" w:eastAsia="zh-CN"/>
              </w:rPr>
              <w:t xml:space="preserve">   </w:t>
            </w:r>
            <w:r>
              <w:rPr>
                <w:rFonts w:hint="eastAsia" w:ascii="微软雅黑" w:hAnsi="微软雅黑" w:eastAsia="微软雅黑" w:cs="微软雅黑"/>
                <w:color w:val="000000"/>
                <w:sz w:val="21"/>
                <w:szCs w:val="21"/>
              </w:rPr>
              <w:t xml:space="preserve"> 资产名称</w:t>
            </w:r>
          </w:p>
        </w:tc>
        <w:tc>
          <w:tcPr>
            <w:tcW w:w="7384" w:type="dxa"/>
            <w:gridSpan w:val="7"/>
            <w:vAlign w:val="center"/>
          </w:tcPr>
          <w:p w14:paraId="623C66A9">
            <w:pPr>
              <w:spacing w:line="36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台球城一批物资</w:t>
            </w:r>
          </w:p>
        </w:tc>
      </w:tr>
      <w:tr w14:paraId="64E2DB9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4" w:hRule="atLeast"/>
        </w:trPr>
        <w:tc>
          <w:tcPr>
            <w:tcW w:w="2195" w:type="dxa"/>
            <w:gridSpan w:val="3"/>
            <w:tcBorders>
              <w:bottom w:val="single" w:color="auto" w:sz="4" w:space="0"/>
            </w:tcBorders>
            <w:vAlign w:val="center"/>
          </w:tcPr>
          <w:p w14:paraId="3C11F7E3">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资产类别</w:t>
            </w:r>
          </w:p>
        </w:tc>
        <w:tc>
          <w:tcPr>
            <w:tcW w:w="2825" w:type="dxa"/>
            <w:gridSpan w:val="3"/>
            <w:tcBorders>
              <w:bottom w:val="single" w:color="auto" w:sz="4" w:space="0"/>
              <w:right w:val="single" w:color="auto" w:sz="4" w:space="0"/>
            </w:tcBorders>
            <w:vAlign w:val="center"/>
          </w:tcPr>
          <w:p w14:paraId="5B90EDF8">
            <w:pPr>
              <w:spacing w:line="360" w:lineRule="exact"/>
              <w:jc w:val="both"/>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lang w:eastAsia="zh-CN"/>
              </w:rPr>
              <w:t>其他类</w:t>
            </w:r>
          </w:p>
        </w:tc>
        <w:tc>
          <w:tcPr>
            <w:tcW w:w="1860" w:type="dxa"/>
            <w:gridSpan w:val="3"/>
            <w:tcBorders>
              <w:left w:val="single" w:color="auto" w:sz="4" w:space="0"/>
              <w:bottom w:val="single" w:color="auto" w:sz="4" w:space="0"/>
              <w:right w:val="single" w:color="auto" w:sz="4" w:space="0"/>
            </w:tcBorders>
            <w:vAlign w:val="center"/>
          </w:tcPr>
          <w:p w14:paraId="6BB5C271">
            <w:pPr>
              <w:spacing w:line="360" w:lineRule="exact"/>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转让底价（元）</w:t>
            </w:r>
          </w:p>
        </w:tc>
        <w:tc>
          <w:tcPr>
            <w:tcW w:w="2699" w:type="dxa"/>
            <w:tcBorders>
              <w:left w:val="single" w:color="auto" w:sz="4" w:space="0"/>
              <w:bottom w:val="single" w:color="auto" w:sz="4" w:space="0"/>
            </w:tcBorders>
          </w:tcPr>
          <w:p w14:paraId="554F3730">
            <w:pPr>
              <w:spacing w:line="36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206190元</w:t>
            </w:r>
          </w:p>
        </w:tc>
      </w:tr>
      <w:tr w14:paraId="186CB63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7A1F9A23">
            <w:pPr>
              <w:spacing w:line="360" w:lineRule="exact"/>
              <w:jc w:val="center"/>
              <w:rPr>
                <w:rFonts w:hint="eastAsia" w:ascii="微软雅黑" w:hAnsi="微软雅黑" w:eastAsia="微软雅黑" w:cs="微软雅黑"/>
                <w:sz w:val="21"/>
                <w:szCs w:val="21"/>
              </w:rPr>
            </w:pPr>
            <w:r>
              <w:rPr>
                <w:rFonts w:hint="eastAsia" w:ascii="微软雅黑" w:hAnsi="微软雅黑" w:eastAsia="微软雅黑" w:cs="微软雅黑"/>
                <w:color w:val="000000"/>
                <w:sz w:val="21"/>
                <w:szCs w:val="21"/>
              </w:rPr>
              <w:t>资产管理方基本情况</w:t>
            </w:r>
          </w:p>
        </w:tc>
      </w:tr>
      <w:tr w14:paraId="7AE62A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AFB2DF0">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资产管理方名称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43B0689B">
            <w:pPr>
              <w:spacing w:line="36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湖南体育国际文化交流中心有限公司</w:t>
            </w:r>
          </w:p>
        </w:tc>
      </w:tr>
      <w:tr w14:paraId="44696DA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0041416C">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403EBE9D">
            <w:pPr>
              <w:spacing w:line="36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湖南省长沙市芙蓉区马王堆街道万家丽路和浏阳河路交汇处东南侧保利中环广场A4栋24层2422</w:t>
            </w:r>
          </w:p>
        </w:tc>
      </w:tr>
      <w:tr w14:paraId="7A25A28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43852A2E">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pacing w:val="-2"/>
                <w:sz w:val="21"/>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14:paraId="43C2D441">
            <w:pPr>
              <w:spacing w:line="360" w:lineRule="exact"/>
              <w:jc w:val="center"/>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rPr>
              <w:t xml:space="preserve"> </w:t>
            </w:r>
            <w:r>
              <w:rPr>
                <w:rFonts w:hint="eastAsia" w:ascii="微软雅黑" w:hAnsi="微软雅黑" w:eastAsia="微软雅黑" w:cs="微软雅黑"/>
                <w:color w:val="000000"/>
                <w:sz w:val="21"/>
                <w:szCs w:val="21"/>
                <w:lang w:val="en-US" w:eastAsia="zh-CN"/>
              </w:rPr>
              <w:t>苏惠</w:t>
            </w:r>
          </w:p>
        </w:tc>
        <w:tc>
          <w:tcPr>
            <w:tcW w:w="1734" w:type="dxa"/>
            <w:gridSpan w:val="4"/>
            <w:tcBorders>
              <w:top w:val="single" w:color="auto" w:sz="4" w:space="0"/>
              <w:left w:val="single" w:color="auto" w:sz="4" w:space="0"/>
              <w:bottom w:val="single" w:color="auto" w:sz="4" w:space="0"/>
              <w:right w:val="single" w:color="auto" w:sz="4" w:space="0"/>
            </w:tcBorders>
            <w:vAlign w:val="center"/>
          </w:tcPr>
          <w:p w14:paraId="034B7DAF">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统一社会</w:t>
            </w:r>
          </w:p>
          <w:p w14:paraId="552A8AB4">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信用代码</w:t>
            </w:r>
          </w:p>
        </w:tc>
        <w:tc>
          <w:tcPr>
            <w:tcW w:w="3394" w:type="dxa"/>
            <w:gridSpan w:val="2"/>
            <w:tcBorders>
              <w:top w:val="single" w:color="auto" w:sz="4" w:space="0"/>
              <w:left w:val="single" w:color="auto" w:sz="4" w:space="0"/>
              <w:bottom w:val="single" w:color="auto" w:sz="4" w:space="0"/>
              <w:right w:val="single" w:color="auto" w:sz="4" w:space="0"/>
            </w:tcBorders>
            <w:vAlign w:val="center"/>
          </w:tcPr>
          <w:p w14:paraId="7B0AC103">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sz w:val="21"/>
                <w:szCs w:val="21"/>
                <w:lang w:val="en-US" w:eastAsia="zh-CN"/>
              </w:rPr>
              <w:t>91430105MA4Q98KB6B</w:t>
            </w:r>
            <w:r>
              <w:rPr>
                <w:rFonts w:hint="eastAsia" w:ascii="微软雅黑" w:hAnsi="微软雅黑" w:eastAsia="微软雅黑" w:cs="微软雅黑"/>
                <w:sz w:val="21"/>
                <w:szCs w:val="21"/>
              </w:rPr>
              <w:t xml:space="preserve"> </w:t>
            </w:r>
          </w:p>
        </w:tc>
      </w:tr>
      <w:tr w14:paraId="66048F5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566A486A">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经办人</w:t>
            </w:r>
          </w:p>
        </w:tc>
        <w:tc>
          <w:tcPr>
            <w:tcW w:w="2256" w:type="dxa"/>
            <w:tcBorders>
              <w:top w:val="single" w:color="auto" w:sz="4" w:space="0"/>
              <w:left w:val="single" w:color="auto" w:sz="4" w:space="0"/>
              <w:bottom w:val="single" w:color="auto" w:sz="4" w:space="0"/>
              <w:right w:val="single" w:color="auto" w:sz="4" w:space="0"/>
            </w:tcBorders>
            <w:vAlign w:val="center"/>
          </w:tcPr>
          <w:p w14:paraId="712E4CAF">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lang w:val="en-US" w:eastAsia="zh-CN"/>
              </w:rPr>
              <w:t>陶斯瑜</w:t>
            </w:r>
            <w:r>
              <w:rPr>
                <w:rFonts w:hint="eastAsia" w:ascii="微软雅黑" w:hAnsi="微软雅黑" w:eastAsia="微软雅黑" w:cs="微软雅黑"/>
                <w:color w:val="000000"/>
                <w:sz w:val="21"/>
                <w:szCs w:val="21"/>
              </w:rPr>
              <w:t xml:space="preserve"> </w:t>
            </w:r>
          </w:p>
        </w:tc>
        <w:tc>
          <w:tcPr>
            <w:tcW w:w="1734" w:type="dxa"/>
            <w:gridSpan w:val="4"/>
            <w:tcBorders>
              <w:top w:val="single" w:color="auto" w:sz="4" w:space="0"/>
              <w:left w:val="single" w:color="auto" w:sz="4" w:space="0"/>
              <w:bottom w:val="single" w:color="auto" w:sz="4" w:space="0"/>
              <w:right w:val="single" w:color="auto" w:sz="4" w:space="0"/>
            </w:tcBorders>
            <w:vAlign w:val="center"/>
          </w:tcPr>
          <w:p w14:paraId="08AE8C35">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联系电话</w:t>
            </w:r>
          </w:p>
        </w:tc>
        <w:tc>
          <w:tcPr>
            <w:tcW w:w="3394" w:type="dxa"/>
            <w:gridSpan w:val="2"/>
            <w:tcBorders>
              <w:top w:val="single" w:color="auto" w:sz="4" w:space="0"/>
              <w:left w:val="single" w:color="auto" w:sz="4" w:space="0"/>
              <w:bottom w:val="single" w:color="auto" w:sz="4" w:space="0"/>
              <w:right w:val="single" w:color="auto" w:sz="4" w:space="0"/>
            </w:tcBorders>
            <w:vAlign w:val="center"/>
          </w:tcPr>
          <w:p w14:paraId="0BA1F752">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lang w:val="en-US" w:eastAsia="zh-CN"/>
              </w:rPr>
              <w:t>18670317683</w:t>
            </w:r>
            <w:r>
              <w:rPr>
                <w:rFonts w:hint="eastAsia" w:ascii="微软雅黑" w:hAnsi="微软雅黑" w:eastAsia="微软雅黑" w:cs="微软雅黑"/>
                <w:color w:val="000000"/>
                <w:sz w:val="21"/>
                <w:szCs w:val="21"/>
              </w:rPr>
              <w:t xml:space="preserve"> </w:t>
            </w:r>
          </w:p>
        </w:tc>
      </w:tr>
      <w:tr w14:paraId="5B8EAB1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65DD544D">
            <w:pPr>
              <w:spacing w:line="360" w:lineRule="exact"/>
              <w:jc w:val="center"/>
              <w:rPr>
                <w:rFonts w:hint="eastAsia" w:ascii="微软雅黑" w:hAnsi="微软雅黑" w:eastAsia="微软雅黑" w:cs="微软雅黑"/>
                <w:color w:val="000000"/>
                <w:sz w:val="21"/>
                <w:szCs w:val="21"/>
                <w:lang w:eastAsia="zh-CN"/>
              </w:rPr>
            </w:pPr>
            <w:r>
              <w:rPr>
                <w:rFonts w:hint="eastAsia" w:ascii="微软雅黑" w:hAnsi="微软雅黑" w:eastAsia="微软雅黑" w:cs="微软雅黑"/>
                <w:color w:val="000000"/>
                <w:sz w:val="21"/>
                <w:szCs w:val="21"/>
                <w:lang w:eastAsia="zh-CN"/>
              </w:rPr>
              <w:t>资产基本情况</w:t>
            </w:r>
          </w:p>
        </w:tc>
      </w:tr>
      <w:tr w14:paraId="6F3F8D0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506829D">
            <w:pPr>
              <w:spacing w:line="360" w:lineRule="exact"/>
              <w:jc w:val="center"/>
              <w:rPr>
                <w:rFonts w:hint="eastAsia" w:ascii="微软雅黑" w:hAnsi="微软雅黑" w:eastAsia="微软雅黑" w:cs="微软雅黑"/>
                <w:color w:val="000000"/>
                <w:sz w:val="21"/>
                <w:szCs w:val="21"/>
                <w:lang w:eastAsia="zh-CN"/>
              </w:rPr>
            </w:pPr>
            <w:r>
              <w:rPr>
                <w:rFonts w:hint="eastAsia" w:ascii="微软雅黑" w:hAnsi="微软雅黑" w:eastAsia="微软雅黑" w:cs="微软雅黑"/>
                <w:color w:val="000000"/>
                <w:sz w:val="21"/>
                <w:szCs w:val="21"/>
                <w:lang w:eastAsia="zh-CN"/>
              </w:rPr>
              <w:t>原始购置成本</w:t>
            </w:r>
          </w:p>
        </w:tc>
        <w:tc>
          <w:tcPr>
            <w:tcW w:w="2256" w:type="dxa"/>
            <w:tcBorders>
              <w:top w:val="single" w:color="auto" w:sz="4" w:space="0"/>
              <w:left w:val="single" w:color="auto" w:sz="4" w:space="0"/>
              <w:bottom w:val="single" w:color="auto" w:sz="4" w:space="0"/>
              <w:right w:val="single" w:color="auto" w:sz="4" w:space="0"/>
            </w:tcBorders>
            <w:vAlign w:val="center"/>
          </w:tcPr>
          <w:p w14:paraId="000AC753">
            <w:pPr>
              <w:spacing w:line="360" w:lineRule="exact"/>
              <w:jc w:val="center"/>
              <w:rPr>
                <w:rFonts w:hint="default"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1029601.92</w:t>
            </w:r>
          </w:p>
        </w:tc>
        <w:tc>
          <w:tcPr>
            <w:tcW w:w="1734" w:type="dxa"/>
            <w:gridSpan w:val="4"/>
            <w:tcBorders>
              <w:top w:val="single" w:color="auto" w:sz="4" w:space="0"/>
              <w:left w:val="single" w:color="auto" w:sz="4" w:space="0"/>
              <w:bottom w:val="single" w:color="auto" w:sz="4" w:space="0"/>
              <w:right w:val="single" w:color="auto" w:sz="4" w:space="0"/>
            </w:tcBorders>
            <w:vAlign w:val="center"/>
          </w:tcPr>
          <w:p w14:paraId="5E06F8E8">
            <w:pPr>
              <w:spacing w:line="360" w:lineRule="exact"/>
              <w:jc w:val="center"/>
              <w:rPr>
                <w:rFonts w:hint="eastAsia" w:ascii="微软雅黑" w:hAnsi="微软雅黑" w:eastAsia="微软雅黑" w:cs="微软雅黑"/>
                <w:color w:val="000000"/>
                <w:sz w:val="21"/>
                <w:szCs w:val="21"/>
                <w:lang w:eastAsia="zh-CN"/>
              </w:rPr>
            </w:pPr>
            <w:r>
              <w:rPr>
                <w:rFonts w:hint="eastAsia" w:ascii="微软雅黑" w:hAnsi="微软雅黑" w:eastAsia="微软雅黑" w:cs="微软雅黑"/>
                <w:color w:val="000000"/>
                <w:sz w:val="21"/>
                <w:szCs w:val="21"/>
                <w:lang w:eastAsia="zh-CN"/>
              </w:rPr>
              <w:t>账面净值</w:t>
            </w:r>
          </w:p>
        </w:tc>
        <w:tc>
          <w:tcPr>
            <w:tcW w:w="3394" w:type="dxa"/>
            <w:gridSpan w:val="2"/>
            <w:tcBorders>
              <w:top w:val="single" w:color="auto" w:sz="4" w:space="0"/>
              <w:left w:val="single" w:color="auto" w:sz="4" w:space="0"/>
              <w:bottom w:val="single" w:color="auto" w:sz="4" w:space="0"/>
              <w:right w:val="single" w:color="auto" w:sz="4" w:space="0"/>
            </w:tcBorders>
            <w:vAlign w:val="center"/>
          </w:tcPr>
          <w:p w14:paraId="544A92B3">
            <w:pPr>
              <w:spacing w:line="360" w:lineRule="exact"/>
              <w:jc w:val="center"/>
              <w:rPr>
                <w:rFonts w:hint="default"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244053.11</w:t>
            </w:r>
          </w:p>
        </w:tc>
      </w:tr>
      <w:tr w14:paraId="3D65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14:paraId="5E24361A">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lang w:val="en-US" w:eastAsia="zh-CN"/>
              </w:rPr>
              <w:t xml:space="preserve">  </w:t>
            </w:r>
            <w:r>
              <w:rPr>
                <w:rFonts w:hint="eastAsia" w:ascii="微软雅黑" w:hAnsi="微软雅黑" w:eastAsia="微软雅黑" w:cs="微软雅黑"/>
                <w:color w:val="000000"/>
                <w:sz w:val="21"/>
                <w:szCs w:val="21"/>
              </w:rPr>
              <w:t>处置行为批准（备案）及资产评估情况</w:t>
            </w:r>
          </w:p>
        </w:tc>
      </w:tr>
      <w:tr w14:paraId="25CDF2B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4CFDE964">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5428ECF3">
            <w:pPr>
              <w:spacing w:line="360" w:lineRule="exact"/>
              <w:jc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湖南省体育国际旅游有限公司</w:t>
            </w:r>
          </w:p>
        </w:tc>
        <w:tc>
          <w:tcPr>
            <w:tcW w:w="1418" w:type="dxa"/>
            <w:gridSpan w:val="2"/>
            <w:tcBorders>
              <w:top w:val="single" w:color="auto" w:sz="2" w:space="0"/>
              <w:left w:val="single" w:color="auto" w:sz="2" w:space="0"/>
              <w:bottom w:val="single" w:color="auto" w:sz="2" w:space="0"/>
              <w:right w:val="single" w:color="auto" w:sz="2" w:space="0"/>
            </w:tcBorders>
            <w:vAlign w:val="center"/>
          </w:tcPr>
          <w:p w14:paraId="7C355799">
            <w:pPr>
              <w:spacing w:line="36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批准（备案）文号</w:t>
            </w:r>
          </w:p>
        </w:tc>
        <w:tc>
          <w:tcPr>
            <w:tcW w:w="3517" w:type="dxa"/>
            <w:gridSpan w:val="3"/>
            <w:tcBorders>
              <w:top w:val="single" w:color="auto" w:sz="2" w:space="0"/>
              <w:left w:val="single" w:color="auto" w:sz="2" w:space="0"/>
              <w:bottom w:val="single" w:color="auto" w:sz="2" w:space="0"/>
              <w:right w:val="single" w:color="auto" w:sz="2" w:space="0"/>
            </w:tcBorders>
            <w:vAlign w:val="center"/>
          </w:tcPr>
          <w:p w14:paraId="613013C8">
            <w:pPr>
              <w:spacing w:line="360" w:lineRule="exact"/>
              <w:ind w:left="-105" w:leftChars="-50"/>
              <w:jc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台球城项目资产处置相关事宜</w:t>
            </w:r>
          </w:p>
        </w:tc>
      </w:tr>
      <w:tr w14:paraId="091433F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287D610E">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资产处置定价方式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00A763E8">
            <w:pPr>
              <w:spacing w:line="36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sym w:font="Wingdings 2" w:char="00A3"/>
            </w:r>
            <w:r>
              <w:rPr>
                <w:rFonts w:hint="eastAsia" w:ascii="微软雅黑" w:hAnsi="微软雅黑" w:eastAsia="微软雅黑" w:cs="微软雅黑"/>
                <w:sz w:val="21"/>
                <w:szCs w:val="21"/>
              </w:rPr>
              <w:t xml:space="preserve"> 资产评估 </w:t>
            </w:r>
            <w:r>
              <w:rPr>
                <w:rFonts w:hint="eastAsia" w:ascii="微软雅黑" w:hAnsi="微软雅黑" w:eastAsia="微软雅黑" w:cs="微软雅黑"/>
                <w:sz w:val="21"/>
                <w:szCs w:val="21"/>
              </w:rPr>
              <w:sym w:font="Wingdings 2" w:char="0052"/>
            </w:r>
            <w:r>
              <w:rPr>
                <w:rFonts w:hint="eastAsia" w:ascii="微软雅黑" w:hAnsi="微软雅黑" w:eastAsia="微软雅黑" w:cs="微软雅黑"/>
                <w:sz w:val="21"/>
                <w:szCs w:val="21"/>
              </w:rPr>
              <w:t xml:space="preserve"> 市场询价</w:t>
            </w:r>
          </w:p>
        </w:tc>
        <w:tc>
          <w:tcPr>
            <w:tcW w:w="1418" w:type="dxa"/>
            <w:gridSpan w:val="2"/>
            <w:tcBorders>
              <w:top w:val="single" w:color="auto" w:sz="2" w:space="0"/>
              <w:left w:val="single" w:color="auto" w:sz="2" w:space="0"/>
              <w:bottom w:val="single" w:color="auto" w:sz="2" w:space="0"/>
              <w:right w:val="single" w:color="auto" w:sz="2" w:space="0"/>
            </w:tcBorders>
            <w:vAlign w:val="center"/>
          </w:tcPr>
          <w:p w14:paraId="3EAC514A">
            <w:pPr>
              <w:spacing w:line="36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评估值</w:t>
            </w:r>
          </w:p>
        </w:tc>
        <w:tc>
          <w:tcPr>
            <w:tcW w:w="3517" w:type="dxa"/>
            <w:gridSpan w:val="3"/>
            <w:tcBorders>
              <w:top w:val="single" w:color="auto" w:sz="2" w:space="0"/>
              <w:left w:val="single" w:color="auto" w:sz="2" w:space="0"/>
              <w:bottom w:val="single" w:color="auto" w:sz="2" w:space="0"/>
              <w:right w:val="single" w:color="auto" w:sz="2" w:space="0"/>
            </w:tcBorders>
            <w:vAlign w:val="center"/>
          </w:tcPr>
          <w:p w14:paraId="36C77841">
            <w:pPr>
              <w:spacing w:line="360" w:lineRule="exact"/>
              <w:ind w:left="-105" w:leftChars="-50"/>
              <w:jc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205300元</w:t>
            </w:r>
          </w:p>
        </w:tc>
      </w:tr>
      <w:tr w14:paraId="6FF4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14:paraId="3EC0EF6E">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挂牌公告期</w:t>
            </w:r>
          </w:p>
        </w:tc>
      </w:tr>
      <w:tr w14:paraId="5703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trPr>
        <w:tc>
          <w:tcPr>
            <w:tcW w:w="9579" w:type="dxa"/>
            <w:gridSpan w:val="10"/>
            <w:vAlign w:val="center"/>
          </w:tcPr>
          <w:p w14:paraId="74F77391">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挂牌公告期：自公告之日起</w:t>
            </w:r>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u w:val="single"/>
                <w:lang w:val="en-US" w:eastAsia="zh-CN"/>
              </w:rPr>
              <w:t>5</w:t>
            </w:r>
            <w:bookmarkStart w:id="2" w:name="_GoBack"/>
            <w:bookmarkEnd w:id="2"/>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rPr>
              <w:t>个工作日</w:t>
            </w:r>
          </w:p>
          <w:p w14:paraId="18F4E3EA">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1、挂牌价格低于100万元的资产，挂牌期不少于5个工作日；</w:t>
            </w:r>
          </w:p>
          <w:p w14:paraId="73F07B38">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2、挂牌底价</w:t>
            </w:r>
            <w:r>
              <w:rPr>
                <w:rFonts w:hint="eastAsia" w:ascii="微软雅黑" w:hAnsi="微软雅黑" w:eastAsia="微软雅黑" w:cs="微软雅黑"/>
                <w:color w:val="000000"/>
                <w:sz w:val="21"/>
                <w:szCs w:val="21"/>
                <w:lang w:eastAsia="zh-CN"/>
              </w:rPr>
              <w:t>等于或</w:t>
            </w:r>
            <w:r>
              <w:rPr>
                <w:rFonts w:hint="eastAsia" w:ascii="微软雅黑" w:hAnsi="微软雅黑" w:eastAsia="微软雅黑" w:cs="微软雅黑"/>
                <w:color w:val="000000"/>
                <w:sz w:val="21"/>
                <w:szCs w:val="21"/>
              </w:rPr>
              <w:t>高于100万元、低于1000万元的项目，挂牌期不少于10个工作日；</w:t>
            </w:r>
          </w:p>
          <w:p w14:paraId="5C8D0A87">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3、挂牌底价</w:t>
            </w:r>
            <w:r>
              <w:rPr>
                <w:rFonts w:hint="eastAsia" w:ascii="微软雅黑" w:hAnsi="微软雅黑" w:eastAsia="微软雅黑" w:cs="微软雅黑"/>
                <w:color w:val="000000"/>
                <w:sz w:val="21"/>
                <w:szCs w:val="21"/>
                <w:lang w:eastAsia="zh-CN"/>
              </w:rPr>
              <w:t>等于或</w:t>
            </w:r>
            <w:r>
              <w:rPr>
                <w:rFonts w:hint="eastAsia" w:ascii="微软雅黑" w:hAnsi="微软雅黑" w:eastAsia="微软雅黑" w:cs="微软雅黑"/>
                <w:color w:val="000000"/>
                <w:sz w:val="21"/>
                <w:szCs w:val="21"/>
              </w:rPr>
              <w:t>高于1000万元的项目，挂牌期不少于20个工作日。</w:t>
            </w:r>
          </w:p>
          <w:p w14:paraId="3CCBE99B">
            <w:pPr>
              <w:rPr>
                <w:rFonts w:hint="eastAsia" w:ascii="微软雅黑" w:hAnsi="微软雅黑" w:eastAsia="微软雅黑" w:cs="微软雅黑"/>
                <w:color w:val="000000"/>
                <w:sz w:val="21"/>
                <w:szCs w:val="21"/>
              </w:rPr>
            </w:pPr>
          </w:p>
        </w:tc>
      </w:tr>
      <w:tr w14:paraId="1347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14:paraId="26F1BF53">
            <w:pPr>
              <w:spacing w:line="340" w:lineRule="exact"/>
              <w:ind w:left="461" w:hanging="403" w:hangingChars="192"/>
              <w:rPr>
                <w:rFonts w:hint="eastAsia" w:ascii="微软雅黑" w:hAnsi="微软雅黑" w:eastAsia="微软雅黑" w:cs="微软雅黑"/>
                <w:color w:val="000000"/>
                <w:sz w:val="21"/>
                <w:szCs w:val="21"/>
                <w:u w:val="single"/>
              </w:rPr>
            </w:pPr>
            <w:r>
              <w:rPr>
                <w:rFonts w:hint="eastAsia" w:ascii="微软雅黑" w:hAnsi="微软雅黑" w:eastAsia="微软雅黑" w:cs="微软雅黑"/>
                <w:color w:val="000000"/>
                <w:sz w:val="21"/>
                <w:szCs w:val="21"/>
              </w:rPr>
              <w:t xml:space="preserve">挂牌期满，如未征集到意向受让方，则：    </w:t>
            </w:r>
          </w:p>
          <w:p w14:paraId="3E814ABB">
            <w:pPr>
              <w:ind w:left="461" w:hanging="403" w:hangingChars="192"/>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不变更挂牌条件，按照</w:t>
            </w:r>
            <w:r>
              <w:rPr>
                <w:rFonts w:hint="eastAsia" w:ascii="微软雅黑" w:hAnsi="微软雅黑" w:eastAsia="微软雅黑" w:cs="微软雅黑"/>
                <w:color w:val="000000"/>
                <w:sz w:val="21"/>
                <w:szCs w:val="21"/>
                <w:u w:val="single"/>
              </w:rPr>
              <w:t>5</w:t>
            </w:r>
            <w:r>
              <w:rPr>
                <w:rFonts w:hint="eastAsia" w:ascii="微软雅黑" w:hAnsi="微软雅黑" w:eastAsia="微软雅黑" w:cs="微软雅黑"/>
                <w:color w:val="000000"/>
                <w:sz w:val="21"/>
                <w:szCs w:val="21"/>
              </w:rPr>
              <w:t>个工作日为一个延长周期，最多顺延</w:t>
            </w:r>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u w:val="single"/>
                <w:lang w:val="en-US" w:eastAsia="zh-CN"/>
              </w:rPr>
              <w:t>3</w:t>
            </w:r>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rPr>
              <w:t>个周期。</w:t>
            </w:r>
          </w:p>
          <w:p w14:paraId="6BF7A9AC">
            <w:pPr>
              <w:ind w:left="461" w:hanging="403" w:hangingChars="192"/>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变更挂牌条件，待重新办理挂牌手续后再次挂牌。</w:t>
            </w:r>
          </w:p>
          <w:p w14:paraId="2C814CE7">
            <w:pPr>
              <w:ind w:left="461" w:hanging="403" w:hangingChars="192"/>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终止挂牌。</w:t>
            </w:r>
          </w:p>
        </w:tc>
      </w:tr>
      <w:tr w14:paraId="1783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14:paraId="371EE230">
            <w:pPr>
              <w:spacing w:line="380" w:lineRule="exact"/>
              <w:jc w:val="center"/>
              <w:textAlignment w:val="baseline"/>
              <w:rPr>
                <w:rFonts w:hint="eastAsia" w:ascii="微软雅黑" w:hAnsi="微软雅黑" w:eastAsia="微软雅黑" w:cs="微软雅黑"/>
                <w:sz w:val="21"/>
                <w:szCs w:val="21"/>
              </w:rPr>
            </w:pPr>
            <w:r>
              <w:rPr>
                <w:rFonts w:hint="eastAsia" w:ascii="微软雅黑" w:hAnsi="微软雅黑" w:eastAsia="微软雅黑" w:cs="微软雅黑"/>
                <w:color w:val="000000"/>
                <w:sz w:val="21"/>
                <w:szCs w:val="21"/>
              </w:rPr>
              <w:t>交易条件</w:t>
            </w:r>
          </w:p>
        </w:tc>
      </w:tr>
      <w:tr w14:paraId="49BD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9579" w:type="dxa"/>
            <w:gridSpan w:val="10"/>
            <w:vAlign w:val="center"/>
          </w:tcPr>
          <w:p w14:paraId="57A6BBA7">
            <w:pPr>
              <w:spacing w:line="380" w:lineRule="exact"/>
              <w:textAlignment w:val="baseline"/>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1、意向受让方若成功受让，须在公告截止</w:t>
            </w:r>
            <w:r>
              <w:rPr>
                <w:rFonts w:hint="eastAsia" w:ascii="微软雅黑" w:hAnsi="微软雅黑" w:eastAsia="微软雅黑" w:cs="微软雅黑"/>
                <w:color w:val="000000"/>
                <w:kern w:val="0"/>
                <w:sz w:val="21"/>
                <w:szCs w:val="21"/>
                <w:lang w:eastAsia="zh-CN"/>
              </w:rPr>
              <w:t>之日起</w:t>
            </w:r>
            <w:r>
              <w:rPr>
                <w:rFonts w:hint="eastAsia" w:ascii="微软雅黑" w:hAnsi="微软雅黑" w:eastAsia="微软雅黑" w:cs="微软雅黑"/>
                <w:color w:val="000000"/>
                <w:kern w:val="0"/>
                <w:sz w:val="21"/>
                <w:szCs w:val="21"/>
              </w:rPr>
              <w:t>5个工作日</w:t>
            </w:r>
            <w:r>
              <w:rPr>
                <w:rFonts w:hint="eastAsia" w:ascii="微软雅黑" w:hAnsi="微软雅黑" w:eastAsia="微软雅黑" w:cs="微软雅黑"/>
                <w:color w:val="000000"/>
                <w:kern w:val="0"/>
                <w:sz w:val="21"/>
                <w:szCs w:val="21"/>
                <w:lang w:eastAsia="zh-CN"/>
              </w:rPr>
              <w:t>内</w:t>
            </w:r>
            <w:r>
              <w:rPr>
                <w:rFonts w:hint="eastAsia" w:ascii="微软雅黑" w:hAnsi="微软雅黑" w:eastAsia="微软雅黑" w:cs="微软雅黑"/>
                <w:color w:val="000000"/>
                <w:kern w:val="0"/>
                <w:sz w:val="21"/>
                <w:szCs w:val="21"/>
              </w:rPr>
              <w:t>缴纳</w:t>
            </w:r>
            <w:r>
              <w:rPr>
                <w:rFonts w:hint="eastAsia" w:ascii="微软雅黑" w:hAnsi="微软雅黑" w:eastAsia="微软雅黑" w:cs="微软雅黑"/>
                <w:color w:val="000000"/>
                <w:kern w:val="0"/>
                <w:sz w:val="21"/>
                <w:szCs w:val="21"/>
                <w:lang w:eastAsia="zh-CN"/>
              </w:rPr>
              <w:t>全额</w:t>
            </w:r>
            <w:r>
              <w:rPr>
                <w:rFonts w:hint="eastAsia" w:ascii="微软雅黑" w:hAnsi="微软雅黑" w:eastAsia="微软雅黑" w:cs="微软雅黑"/>
                <w:color w:val="000000"/>
                <w:kern w:val="0"/>
                <w:sz w:val="21"/>
                <w:szCs w:val="21"/>
              </w:rPr>
              <w:t>交易价款</w:t>
            </w:r>
            <w:r>
              <w:rPr>
                <w:rFonts w:hint="eastAsia" w:ascii="微软雅黑" w:hAnsi="微软雅黑" w:eastAsia="微软雅黑" w:cs="微软雅黑"/>
                <w:color w:val="000000"/>
                <w:kern w:val="0"/>
                <w:sz w:val="21"/>
                <w:szCs w:val="21"/>
                <w:lang w:eastAsia="zh-CN"/>
              </w:rPr>
              <w:t>至联合利国文交所指定交易结算账户，并与</w:t>
            </w:r>
            <w:r>
              <w:rPr>
                <w:rFonts w:hint="eastAsia" w:ascii="微软雅黑" w:hAnsi="微软雅黑" w:eastAsia="微软雅黑" w:cs="微软雅黑"/>
                <w:color w:val="000000"/>
                <w:kern w:val="0"/>
                <w:sz w:val="21"/>
                <w:szCs w:val="21"/>
              </w:rPr>
              <w:t>转让方签订《资产交易合同》，否则已支付的保证金不予退还；</w:t>
            </w:r>
          </w:p>
          <w:p w14:paraId="0ECA530E">
            <w:pPr>
              <w:spacing w:line="380" w:lineRule="exact"/>
              <w:textAlignment w:val="baseline"/>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2、意向受让方若成功受让，在交易价款和交易佣金缴清后5天内撤离所有标的设备，否则未撤离设备均归转让方所有，已支付的交易价款和交易佣金不予退还；</w:t>
            </w:r>
          </w:p>
          <w:p w14:paraId="51530CAD">
            <w:pPr>
              <w:spacing w:line="380" w:lineRule="exact"/>
              <w:textAlignment w:val="baseline"/>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3、受让方在撤离设备时，不得破坏现有装饰物，自设备搬离且不存在损坏的情况下在5个工作日内原路退还保证金；否则将扣除保证金作为清场费用。</w:t>
            </w:r>
          </w:p>
          <w:p w14:paraId="1C9FEBE6">
            <w:pPr>
              <w:spacing w:line="380" w:lineRule="exact"/>
              <w:textAlignment w:val="baseline"/>
              <w:rPr>
                <w:rFonts w:hint="eastAsia" w:ascii="微软雅黑" w:hAnsi="微软雅黑" w:eastAsia="微软雅黑" w:cs="微软雅黑"/>
                <w:color w:val="000000"/>
                <w:kern w:val="0"/>
                <w:sz w:val="21"/>
                <w:szCs w:val="21"/>
                <w:lang w:eastAsia="zh-CN"/>
              </w:rPr>
            </w:pPr>
            <w:r>
              <w:rPr>
                <w:rFonts w:hint="eastAsia" w:ascii="微软雅黑" w:hAnsi="微软雅黑" w:eastAsia="微软雅黑" w:cs="微软雅黑"/>
                <w:color w:val="000000"/>
                <w:kern w:val="0"/>
                <w:sz w:val="21"/>
                <w:szCs w:val="21"/>
              </w:rPr>
              <w:t>4、本次处置的资产可能存在一定的瑕疵，意向受让方应在本公告规定的展示时间内自行对标的资产进行实地勘验，对标的资产的实际情况以及存在的瑕疵进行充分了解并予以认可，因标的资产瑕疵产生的相关后果由意向受让方自行承担。</w:t>
            </w:r>
          </w:p>
          <w:p w14:paraId="1BD41B34">
            <w:pPr>
              <w:spacing w:line="380" w:lineRule="exact"/>
              <w:textAlignment w:val="baseline"/>
              <w:rPr>
                <w:rFonts w:hint="eastAsia" w:ascii="微软雅黑" w:hAnsi="微软雅黑" w:eastAsia="微软雅黑" w:cs="微软雅黑"/>
                <w:color w:val="000000"/>
                <w:kern w:val="0"/>
                <w:sz w:val="21"/>
                <w:szCs w:val="21"/>
              </w:rPr>
            </w:pPr>
          </w:p>
        </w:tc>
      </w:tr>
      <w:tr w14:paraId="4DBD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14:paraId="4580BEB3">
            <w:pPr>
              <w:spacing w:line="380" w:lineRule="exact"/>
              <w:jc w:val="center"/>
              <w:textAlignment w:val="baseline"/>
              <w:rPr>
                <w:rFonts w:hint="eastAsia" w:ascii="微软雅黑" w:hAnsi="微软雅黑" w:eastAsia="微软雅黑" w:cs="微软雅黑"/>
                <w:sz w:val="21"/>
                <w:szCs w:val="21"/>
              </w:rPr>
            </w:pPr>
            <w:r>
              <w:rPr>
                <w:rFonts w:hint="eastAsia" w:ascii="微软雅黑" w:hAnsi="微软雅黑" w:eastAsia="微软雅黑" w:cs="微软雅黑"/>
                <w:color w:val="000000"/>
                <w:sz w:val="21"/>
                <w:szCs w:val="21"/>
              </w:rPr>
              <w:t>交易方式</w:t>
            </w:r>
          </w:p>
        </w:tc>
      </w:tr>
      <w:tr w14:paraId="6888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9579" w:type="dxa"/>
            <w:gridSpan w:val="10"/>
            <w:vAlign w:val="center"/>
          </w:tcPr>
          <w:p w14:paraId="51F60FDD">
            <w:pPr>
              <w:spacing w:line="360" w:lineRule="exact"/>
              <w:jc w:val="both"/>
              <w:rPr>
                <w:rFonts w:hint="eastAsia" w:ascii="微软雅黑" w:hAnsi="微软雅黑" w:eastAsia="微软雅黑" w:cs="微软雅黑"/>
                <w:i w:val="0"/>
                <w:iCs w:val="0"/>
                <w:caps w:val="0"/>
                <w:color w:val="333333"/>
                <w:spacing w:val="0"/>
                <w:sz w:val="21"/>
                <w:szCs w:val="21"/>
                <w:shd w:val="clear" w:fill="FFFFFF"/>
                <w:lang w:eastAsia="zh-CN"/>
              </w:rPr>
            </w:pPr>
            <w:r>
              <w:rPr>
                <w:rFonts w:hint="eastAsia" w:ascii="微软雅黑" w:hAnsi="微软雅黑" w:eastAsia="微软雅黑" w:cs="微软雅黑"/>
                <w:i w:val="0"/>
                <w:iCs w:val="0"/>
                <w:caps w:val="0"/>
                <w:color w:val="333333"/>
                <w:spacing w:val="0"/>
                <w:sz w:val="21"/>
                <w:szCs w:val="21"/>
                <w:shd w:val="clear" w:fill="FFFFFF"/>
                <w:lang w:val="en-US" w:eastAsia="zh-CN"/>
              </w:rPr>
              <w:t>1、</w:t>
            </w:r>
            <w:r>
              <w:rPr>
                <w:rFonts w:ascii="微软雅黑" w:hAnsi="微软雅黑" w:eastAsia="微软雅黑" w:cs="微软雅黑"/>
                <w:i w:val="0"/>
                <w:iCs w:val="0"/>
                <w:caps w:val="0"/>
                <w:color w:val="333333"/>
                <w:spacing w:val="0"/>
                <w:sz w:val="21"/>
                <w:szCs w:val="21"/>
                <w:shd w:val="clear" w:fill="FFFFFF"/>
              </w:rPr>
              <w:t>信息披露期满,如征集到两个及以上符合条件的意向受让方,选择</w:t>
            </w:r>
            <w:r>
              <w:rPr>
                <w:rFonts w:hint="eastAsia" w:ascii="微软雅黑" w:hAnsi="微软雅黑" w:eastAsia="微软雅黑" w:cs="微软雅黑"/>
                <w:i w:val="0"/>
                <w:iCs w:val="0"/>
                <w:caps w:val="0"/>
                <w:color w:val="333333"/>
                <w:spacing w:val="0"/>
                <w:sz w:val="21"/>
                <w:szCs w:val="21"/>
                <w:shd w:val="clear" w:fill="FFFFFF"/>
                <w:lang w:eastAsia="zh-CN"/>
              </w:rPr>
              <w:t>网络</w:t>
            </w:r>
            <w:r>
              <w:rPr>
                <w:rFonts w:ascii="微软雅黑" w:hAnsi="微软雅黑" w:eastAsia="微软雅黑" w:cs="微软雅黑"/>
                <w:i w:val="0"/>
                <w:iCs w:val="0"/>
                <w:caps w:val="0"/>
                <w:color w:val="333333"/>
                <w:spacing w:val="0"/>
                <w:sz w:val="21"/>
                <w:szCs w:val="21"/>
                <w:shd w:val="clear" w:fill="FFFFFF"/>
              </w:rPr>
              <w:t>竞价方式</w:t>
            </w:r>
            <w:r>
              <w:rPr>
                <w:rFonts w:hint="eastAsia" w:ascii="微软雅黑" w:hAnsi="微软雅黑" w:eastAsia="微软雅黑" w:cs="微软雅黑"/>
                <w:i w:val="0"/>
                <w:iCs w:val="0"/>
                <w:caps w:val="0"/>
                <w:color w:val="333333"/>
                <w:spacing w:val="0"/>
                <w:sz w:val="21"/>
                <w:szCs w:val="21"/>
                <w:shd w:val="clear" w:fill="FFFFFF"/>
                <w:lang w:eastAsia="zh-CN"/>
              </w:rPr>
              <w:t>确定最终受让方；</w:t>
            </w:r>
          </w:p>
          <w:p w14:paraId="3916BF72">
            <w:pPr>
              <w:spacing w:line="360" w:lineRule="exact"/>
              <w:jc w:val="both"/>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lang w:val="en-US" w:eastAsia="zh-CN"/>
              </w:rPr>
              <w:t>2、</w:t>
            </w:r>
            <w:r>
              <w:rPr>
                <w:rFonts w:hint="eastAsia" w:ascii="微软雅黑" w:hAnsi="微软雅黑" w:eastAsia="微软雅黑" w:cs="微软雅黑"/>
                <w:i w:val="0"/>
                <w:iCs w:val="0"/>
                <w:caps w:val="0"/>
                <w:color w:val="333333"/>
                <w:spacing w:val="0"/>
                <w:sz w:val="21"/>
                <w:szCs w:val="21"/>
                <w:shd w:val="clear" w:fill="FFFFFF"/>
              </w:rPr>
              <w:t>在权利人放弃优先购买权的情况下，如仅征集到1个符合条件的意向受让方，</w:t>
            </w:r>
            <w:r>
              <w:rPr>
                <w:rFonts w:hint="eastAsia" w:ascii="微软雅黑" w:hAnsi="微软雅黑" w:eastAsia="微软雅黑" w:cs="微软雅黑"/>
                <w:i w:val="0"/>
                <w:iCs w:val="0"/>
                <w:caps w:val="0"/>
                <w:color w:val="333333"/>
                <w:spacing w:val="0"/>
                <w:sz w:val="21"/>
                <w:szCs w:val="21"/>
                <w:shd w:val="clear" w:fill="FFFFFF"/>
                <w:lang w:eastAsia="zh-CN"/>
              </w:rPr>
              <w:t>则按转让底价成交。</w:t>
            </w:r>
          </w:p>
          <w:p w14:paraId="061D1805">
            <w:pPr>
              <w:spacing w:line="300" w:lineRule="exact"/>
              <w:ind w:firstLine="420" w:firstLineChars="200"/>
              <w:rPr>
                <w:rFonts w:hint="eastAsia" w:ascii="微软雅黑" w:hAnsi="微软雅黑" w:eastAsia="微软雅黑" w:cs="微软雅黑"/>
                <w:sz w:val="21"/>
                <w:szCs w:val="21"/>
              </w:rPr>
            </w:pPr>
          </w:p>
          <w:p w14:paraId="5D983CAB">
            <w:pPr>
              <w:spacing w:line="380" w:lineRule="exact"/>
              <w:textAlignment w:val="baseline"/>
              <w:rPr>
                <w:rFonts w:hint="eastAsia" w:ascii="微软雅黑" w:hAnsi="微软雅黑" w:eastAsia="微软雅黑" w:cs="微软雅黑"/>
                <w:color w:val="000000"/>
                <w:sz w:val="21"/>
                <w:szCs w:val="21"/>
                <w:u w:val="single"/>
              </w:rPr>
            </w:pPr>
          </w:p>
        </w:tc>
      </w:tr>
      <w:tr w14:paraId="219E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14:paraId="095FD278">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交易保证金</w:t>
            </w:r>
          </w:p>
        </w:tc>
      </w:tr>
      <w:tr w14:paraId="4253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14:paraId="2A4CB5AF">
            <w:pPr>
              <w:spacing w:line="480" w:lineRule="exact"/>
              <w:rPr>
                <w:rFonts w:hint="eastAsia" w:ascii="微软雅黑" w:hAnsi="微软雅黑" w:eastAsia="微软雅黑" w:cs="微软雅黑"/>
                <w:b/>
                <w:color w:val="000000"/>
                <w:sz w:val="21"/>
                <w:szCs w:val="21"/>
              </w:rPr>
            </w:pPr>
            <w:r>
              <w:rPr>
                <w:rFonts w:hint="eastAsia" w:ascii="微软雅黑" w:hAnsi="微软雅黑" w:eastAsia="微软雅黑" w:cs="微软雅黑"/>
                <w:b/>
                <w:color w:val="000000"/>
                <w:sz w:val="21"/>
                <w:szCs w:val="21"/>
              </w:rPr>
              <w:t xml:space="preserve"> 交纳保证金</w:t>
            </w:r>
          </w:p>
        </w:tc>
        <w:tc>
          <w:tcPr>
            <w:tcW w:w="7956" w:type="dxa"/>
            <w:gridSpan w:val="8"/>
          </w:tcPr>
          <w:p w14:paraId="571FDC9D">
            <w:pPr>
              <w:spacing w:line="480" w:lineRule="exact"/>
              <w:rPr>
                <w:rFonts w:hint="eastAsia" w:ascii="微软雅黑" w:hAnsi="微软雅黑" w:eastAsia="微软雅黑" w:cs="微软雅黑"/>
                <w:color w:val="000000"/>
                <w:sz w:val="21"/>
                <w:szCs w:val="21"/>
              </w:rPr>
            </w:pP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rPr>
              <w:sym w:font="Wingdings 2" w:char="0052"/>
            </w:r>
            <w:r>
              <w:rPr>
                <w:rFonts w:hint="eastAsia" w:ascii="微软雅黑" w:hAnsi="微软雅黑" w:eastAsia="微软雅黑" w:cs="微软雅黑"/>
                <w:sz w:val="21"/>
                <w:szCs w:val="21"/>
              </w:rPr>
              <w:t xml:space="preserve">是   </w:t>
            </w:r>
            <w:r>
              <w:rPr>
                <w:rFonts w:hint="eastAsia" w:ascii="微软雅黑" w:hAnsi="微软雅黑" w:eastAsia="微软雅黑" w:cs="微软雅黑"/>
                <w:sz w:val="21"/>
                <w:szCs w:val="21"/>
              </w:rPr>
              <w:sym w:font="Wingdings 2" w:char="00A3"/>
            </w:r>
            <w:r>
              <w:rPr>
                <w:rFonts w:hint="eastAsia" w:ascii="微软雅黑" w:hAnsi="微软雅黑" w:eastAsia="微软雅黑" w:cs="微软雅黑"/>
                <w:sz w:val="21"/>
                <w:szCs w:val="21"/>
              </w:rPr>
              <w:t>否</w:t>
            </w:r>
          </w:p>
        </w:tc>
      </w:tr>
      <w:tr w14:paraId="7CF1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14:paraId="24B03198">
            <w:pPr>
              <w:spacing w:line="480" w:lineRule="exact"/>
              <w:rPr>
                <w:rFonts w:hint="eastAsia" w:ascii="微软雅黑" w:hAnsi="微软雅黑" w:eastAsia="微软雅黑" w:cs="微软雅黑"/>
                <w:b/>
                <w:color w:val="000000"/>
                <w:sz w:val="21"/>
                <w:szCs w:val="21"/>
              </w:rPr>
            </w:pPr>
            <w:r>
              <w:rPr>
                <w:rFonts w:hint="eastAsia" w:ascii="微软雅黑" w:hAnsi="微软雅黑" w:eastAsia="微软雅黑" w:cs="微软雅黑"/>
                <w:b/>
                <w:color w:val="000000"/>
                <w:sz w:val="21"/>
                <w:szCs w:val="21"/>
              </w:rPr>
              <w:t xml:space="preserve"> 保证金金额</w:t>
            </w:r>
          </w:p>
        </w:tc>
        <w:tc>
          <w:tcPr>
            <w:tcW w:w="7956" w:type="dxa"/>
            <w:gridSpan w:val="8"/>
          </w:tcPr>
          <w:p w14:paraId="1AC3CF42">
            <w:pPr>
              <w:spacing w:line="480" w:lineRule="exact"/>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 设定为</w:t>
            </w:r>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u w:val="single"/>
                <w:lang w:val="en-US" w:eastAsia="zh-CN"/>
              </w:rPr>
              <w:t>2</w:t>
            </w:r>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rPr>
              <w:t>万元</w:t>
            </w:r>
          </w:p>
        </w:tc>
      </w:tr>
      <w:tr w14:paraId="1798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14:paraId="77364CE4">
            <w:pPr>
              <w:spacing w:line="480" w:lineRule="exact"/>
              <w:jc w:val="center"/>
              <w:rPr>
                <w:rFonts w:hint="eastAsia" w:ascii="微软雅黑" w:hAnsi="微软雅黑" w:eastAsia="微软雅黑" w:cs="微软雅黑"/>
                <w:b/>
                <w:color w:val="000000"/>
                <w:sz w:val="21"/>
                <w:szCs w:val="21"/>
              </w:rPr>
            </w:pPr>
            <w:r>
              <w:rPr>
                <w:rFonts w:hint="eastAsia" w:ascii="微软雅黑" w:hAnsi="微软雅黑" w:eastAsia="微软雅黑" w:cs="微软雅黑"/>
                <w:b/>
                <w:color w:val="000000"/>
                <w:sz w:val="21"/>
                <w:szCs w:val="21"/>
              </w:rPr>
              <w:t>交纳时间</w:t>
            </w:r>
          </w:p>
        </w:tc>
        <w:tc>
          <w:tcPr>
            <w:tcW w:w="7956" w:type="dxa"/>
            <w:gridSpan w:val="8"/>
            <w:vAlign w:val="center"/>
          </w:tcPr>
          <w:p w14:paraId="61D1C7E2">
            <w:pPr>
              <w:spacing w:line="480" w:lineRule="exact"/>
              <w:rPr>
                <w:rFonts w:hint="eastAsia" w:ascii="微软雅黑" w:hAnsi="微软雅黑" w:eastAsia="微软雅黑" w:cs="微软雅黑"/>
                <w:color w:val="000000"/>
                <w:sz w:val="21"/>
                <w:szCs w:val="21"/>
              </w:rPr>
            </w:pPr>
            <w:r>
              <w:rPr>
                <w:rFonts w:hint="eastAsia" w:ascii="微软雅黑" w:hAnsi="微软雅黑" w:eastAsia="微软雅黑" w:cs="微软雅黑"/>
                <w:sz w:val="21"/>
                <w:szCs w:val="21"/>
              </w:rPr>
              <w:t>意向受让方在信息发布截止日17：00前交纳保证金（以到达指定账户时间为准）</w:t>
            </w:r>
          </w:p>
        </w:tc>
      </w:tr>
      <w:tr w14:paraId="5393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14:paraId="3735E586">
            <w:pPr>
              <w:spacing w:line="480" w:lineRule="exact"/>
              <w:jc w:val="center"/>
              <w:rPr>
                <w:rFonts w:hint="eastAsia" w:ascii="微软雅黑" w:hAnsi="微软雅黑" w:eastAsia="微软雅黑" w:cs="微软雅黑"/>
                <w:b/>
                <w:color w:val="000000"/>
                <w:sz w:val="21"/>
                <w:szCs w:val="21"/>
              </w:rPr>
            </w:pPr>
            <w:r>
              <w:rPr>
                <w:rFonts w:hint="eastAsia" w:ascii="微软雅黑" w:hAnsi="微软雅黑" w:eastAsia="微软雅黑" w:cs="微软雅黑"/>
                <w:b/>
                <w:color w:val="000000"/>
                <w:sz w:val="21"/>
                <w:szCs w:val="21"/>
              </w:rPr>
              <w:t>保证金约定</w:t>
            </w:r>
          </w:p>
        </w:tc>
        <w:tc>
          <w:tcPr>
            <w:tcW w:w="7956" w:type="dxa"/>
            <w:gridSpan w:val="8"/>
            <w:vAlign w:val="center"/>
          </w:tcPr>
          <w:p w14:paraId="0E09D464">
            <w:pPr>
              <w:spacing w:line="380" w:lineRule="exact"/>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如成为最终受让方：其交纳的保证金扣除交易服务费后自动转为交易价款的一部分；</w:t>
            </w:r>
          </w:p>
          <w:p w14:paraId="5EDD2421">
            <w:pPr>
              <w:spacing w:line="380" w:lineRule="exact"/>
              <w:textAlignment w:val="baseline"/>
              <w:rPr>
                <w:rFonts w:hint="eastAsia" w:ascii="微软雅黑" w:hAnsi="微软雅黑" w:eastAsia="微软雅黑" w:cs="微软雅黑"/>
                <w:color w:val="000000"/>
                <w:sz w:val="21"/>
                <w:szCs w:val="21"/>
              </w:rPr>
            </w:pPr>
            <w:r>
              <w:rPr>
                <w:rFonts w:hint="eastAsia" w:ascii="微软雅黑" w:hAnsi="微软雅黑" w:eastAsia="微软雅黑" w:cs="微软雅黑"/>
                <w:sz w:val="21"/>
                <w:szCs w:val="21"/>
              </w:rPr>
              <w:t>如未成为最终受让方：其交纳的保证金3个工作日内原路无息退回。</w:t>
            </w:r>
          </w:p>
        </w:tc>
      </w:tr>
      <w:tr w14:paraId="0E99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14:paraId="48109D9B">
            <w:pPr>
              <w:spacing w:line="480" w:lineRule="exact"/>
              <w:jc w:val="center"/>
              <w:rPr>
                <w:rFonts w:hint="eastAsia" w:ascii="微软雅黑" w:hAnsi="微软雅黑" w:eastAsia="微软雅黑" w:cs="微软雅黑"/>
                <w:b/>
                <w:color w:val="000000"/>
                <w:sz w:val="21"/>
                <w:szCs w:val="21"/>
              </w:rPr>
            </w:pPr>
            <w:r>
              <w:rPr>
                <w:rFonts w:hint="eastAsia" w:ascii="微软雅黑" w:hAnsi="微软雅黑" w:eastAsia="微软雅黑" w:cs="微软雅黑"/>
                <w:color w:val="000000"/>
                <w:sz w:val="21"/>
                <w:szCs w:val="21"/>
              </w:rPr>
              <w:t>资产管理方委托及承诺事项</w:t>
            </w:r>
          </w:p>
        </w:tc>
      </w:tr>
      <w:tr w14:paraId="1FD51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14:paraId="37C7B551">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本单位将上述资产委托联合利国文化产权交易所公开挂牌处置，并承诺如下：</w:t>
            </w:r>
          </w:p>
          <w:p w14:paraId="6B0F36C2">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w:t>
            </w:r>
            <w:r>
              <w:rPr>
                <w:rFonts w:hint="eastAsia" w:ascii="微软雅黑" w:hAnsi="微软雅黑" w:eastAsia="微软雅黑" w:cs="微软雅黑"/>
                <w:sz w:val="21"/>
                <w:szCs w:val="21"/>
              </w:rPr>
              <w:t>我方</w:t>
            </w:r>
            <w:r>
              <w:rPr>
                <w:rFonts w:hint="eastAsia" w:ascii="微软雅黑" w:hAnsi="微软雅黑" w:eastAsia="微软雅黑" w:cs="微软雅黑"/>
                <w:color w:val="000000"/>
                <w:sz w:val="21"/>
                <w:szCs w:val="21"/>
              </w:rPr>
              <w:t xml:space="preserve">处置资产权属清晰，对该资产拥有完全的处置权，无任何限制和纠纷。 </w:t>
            </w:r>
          </w:p>
          <w:p w14:paraId="2B0DFB10">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2、我方处置资产的相关行为已履行相应程序，经过有效的决策，并获得相应批准；</w:t>
            </w:r>
          </w:p>
          <w:p w14:paraId="425DA411">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3、我方向贵所提交的资料内容真实、完整、合法、有效，不存在虚假记载、误导性陈述或重大遗漏；</w:t>
            </w:r>
          </w:p>
          <w:p w14:paraId="12972753">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4、我方在资产处置过程中，同意遵守相关法律法规和联合利国</w:t>
            </w:r>
            <w:r>
              <w:rPr>
                <w:rFonts w:hint="eastAsia" w:ascii="微软雅黑" w:hAnsi="微软雅黑" w:eastAsia="微软雅黑" w:cs="微软雅黑"/>
                <w:sz w:val="21"/>
                <w:szCs w:val="21"/>
              </w:rPr>
              <w:t>文化产权交易所交易规则及相关细则</w:t>
            </w:r>
            <w:r>
              <w:rPr>
                <w:rFonts w:hint="eastAsia" w:ascii="微软雅黑" w:hAnsi="微软雅黑" w:eastAsia="微软雅黑" w:cs="微软雅黑"/>
                <w:color w:val="000000"/>
                <w:sz w:val="21"/>
                <w:szCs w:val="21"/>
              </w:rPr>
              <w:t>，按照有关要求履行我方义务；</w:t>
            </w:r>
          </w:p>
          <w:p w14:paraId="346A8346">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5、如在项目进行中出现纠纷，同意依据联合利国文化产权交易所相关规定，接受联合利国文化产权交易所作出的中止或终结项目的决定。</w:t>
            </w:r>
          </w:p>
          <w:p w14:paraId="3D0199A1">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如我方违反上述承诺，愿意承担相应法律和经济责任。</w:t>
            </w:r>
          </w:p>
          <w:p w14:paraId="7A4849F0">
            <w:pPr>
              <w:spacing w:line="480" w:lineRule="exact"/>
              <w:rPr>
                <w:rFonts w:hint="eastAsia" w:ascii="微软雅黑" w:hAnsi="微软雅黑" w:eastAsia="微软雅黑" w:cs="微软雅黑"/>
                <w:color w:val="000000"/>
                <w:sz w:val="21"/>
                <w:szCs w:val="21"/>
              </w:rPr>
            </w:pPr>
          </w:p>
          <w:p w14:paraId="3487D1B9">
            <w:pPr>
              <w:spacing w:line="480" w:lineRule="exact"/>
              <w:ind w:firstLine="3360" w:firstLineChars="16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       资产管理方（签章）：                                  </w:t>
            </w:r>
          </w:p>
          <w:p w14:paraId="148112CC">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                                   法人代表/负责人或授权代表：</w:t>
            </w:r>
          </w:p>
          <w:p w14:paraId="01C20570">
            <w:pPr>
              <w:spacing w:line="480" w:lineRule="exact"/>
              <w:ind w:firstLine="3150" w:firstLineChars="15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         申请日期：   年   月   日</w:t>
            </w:r>
          </w:p>
          <w:p w14:paraId="00B000AC">
            <w:pPr>
              <w:spacing w:line="480" w:lineRule="exact"/>
              <w:rPr>
                <w:rFonts w:hint="eastAsia" w:ascii="微软雅黑" w:hAnsi="微软雅黑" w:eastAsia="微软雅黑" w:cs="微软雅黑"/>
                <w:b/>
                <w:color w:val="000000"/>
                <w:sz w:val="21"/>
                <w:szCs w:val="21"/>
              </w:rPr>
            </w:pPr>
          </w:p>
        </w:tc>
      </w:tr>
      <w:bookmarkEnd w:id="0"/>
      <w:bookmarkEnd w:id="1"/>
    </w:tbl>
    <w:p w14:paraId="1D49FACF">
      <w:pPr>
        <w:adjustRightInd w:val="0"/>
        <w:snapToGrid w:val="0"/>
        <w:rPr>
          <w:rFonts w:hint="eastAsia" w:ascii="微软雅黑" w:hAnsi="微软雅黑" w:eastAsia="微软雅黑" w:cs="微软雅黑"/>
          <w:sz w:val="21"/>
          <w:szCs w:val="21"/>
        </w:rPr>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decorative"/>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KSOF8235D1FC">
    <w:panose1 w:val="020B0703020204020201"/>
    <w:charset w:val="86"/>
    <w:family w:val="auto"/>
    <w:pitch w:val="default"/>
    <w:sig w:usb0="00000001" w:usb1="00000000" w:usb2="00000000" w:usb3="00000000" w:csb0="00040001"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14:paraId="2061843A">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14:paraId="7D39942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8C8AD">
    <w:pPr>
      <w:pStyle w:val="4"/>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3A0A47F9">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RhNDBmOTg2MWZjZTI0NGRmZGI1NzAxMGU1MTg5ZDQifQ=="/>
  </w:docVars>
  <w:rsids>
    <w:rsidRoot w:val="00790464"/>
    <w:rsid w:val="000010B8"/>
    <w:rsid w:val="00014610"/>
    <w:rsid w:val="00023111"/>
    <w:rsid w:val="00024422"/>
    <w:rsid w:val="00043E0F"/>
    <w:rsid w:val="00046C02"/>
    <w:rsid w:val="00053E3F"/>
    <w:rsid w:val="00086C01"/>
    <w:rsid w:val="0009150D"/>
    <w:rsid w:val="00093B8C"/>
    <w:rsid w:val="000A0108"/>
    <w:rsid w:val="000A6474"/>
    <w:rsid w:val="000A6B7A"/>
    <w:rsid w:val="000B0973"/>
    <w:rsid w:val="000B5148"/>
    <w:rsid w:val="000D5456"/>
    <w:rsid w:val="000E2A70"/>
    <w:rsid w:val="000F3755"/>
    <w:rsid w:val="00104952"/>
    <w:rsid w:val="0011443E"/>
    <w:rsid w:val="00120BED"/>
    <w:rsid w:val="00141137"/>
    <w:rsid w:val="00145BA5"/>
    <w:rsid w:val="00146F89"/>
    <w:rsid w:val="00147AA1"/>
    <w:rsid w:val="0015788A"/>
    <w:rsid w:val="00163810"/>
    <w:rsid w:val="00166CBF"/>
    <w:rsid w:val="00191CEA"/>
    <w:rsid w:val="001A2240"/>
    <w:rsid w:val="001B00FC"/>
    <w:rsid w:val="001B2006"/>
    <w:rsid w:val="001C4D35"/>
    <w:rsid w:val="001E1F8E"/>
    <w:rsid w:val="00200956"/>
    <w:rsid w:val="00207904"/>
    <w:rsid w:val="00227AE2"/>
    <w:rsid w:val="00247445"/>
    <w:rsid w:val="0026075E"/>
    <w:rsid w:val="002720DF"/>
    <w:rsid w:val="00281F6D"/>
    <w:rsid w:val="002B1695"/>
    <w:rsid w:val="002C18B5"/>
    <w:rsid w:val="002D3AE0"/>
    <w:rsid w:val="002F10F6"/>
    <w:rsid w:val="003016BF"/>
    <w:rsid w:val="00316456"/>
    <w:rsid w:val="0033218D"/>
    <w:rsid w:val="00343EBE"/>
    <w:rsid w:val="00357A8A"/>
    <w:rsid w:val="0036786E"/>
    <w:rsid w:val="00371A68"/>
    <w:rsid w:val="003A26B1"/>
    <w:rsid w:val="003A6756"/>
    <w:rsid w:val="003F1740"/>
    <w:rsid w:val="003F5DFB"/>
    <w:rsid w:val="00403177"/>
    <w:rsid w:val="004141EE"/>
    <w:rsid w:val="00425B74"/>
    <w:rsid w:val="0044179E"/>
    <w:rsid w:val="00452BD8"/>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7338F"/>
    <w:rsid w:val="0059184A"/>
    <w:rsid w:val="005A0B30"/>
    <w:rsid w:val="005B6816"/>
    <w:rsid w:val="005C3B0D"/>
    <w:rsid w:val="005C4C48"/>
    <w:rsid w:val="005D1D4A"/>
    <w:rsid w:val="005E07E8"/>
    <w:rsid w:val="006110EA"/>
    <w:rsid w:val="00614C7D"/>
    <w:rsid w:val="00621CBA"/>
    <w:rsid w:val="006239DF"/>
    <w:rsid w:val="00624B01"/>
    <w:rsid w:val="00642AD3"/>
    <w:rsid w:val="00652264"/>
    <w:rsid w:val="00656EAF"/>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57543"/>
    <w:rsid w:val="008608A9"/>
    <w:rsid w:val="00862659"/>
    <w:rsid w:val="0087563D"/>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214DC"/>
    <w:rsid w:val="00C32D83"/>
    <w:rsid w:val="00C42196"/>
    <w:rsid w:val="00C464D9"/>
    <w:rsid w:val="00C6064E"/>
    <w:rsid w:val="00C668D4"/>
    <w:rsid w:val="00C67742"/>
    <w:rsid w:val="00C8770C"/>
    <w:rsid w:val="00C91253"/>
    <w:rsid w:val="00C94CA9"/>
    <w:rsid w:val="00CA481A"/>
    <w:rsid w:val="00CB5178"/>
    <w:rsid w:val="00CE0D75"/>
    <w:rsid w:val="00CF6DE8"/>
    <w:rsid w:val="00D12AEC"/>
    <w:rsid w:val="00D20BF1"/>
    <w:rsid w:val="00D21E3F"/>
    <w:rsid w:val="00D25820"/>
    <w:rsid w:val="00D30D4C"/>
    <w:rsid w:val="00D333EE"/>
    <w:rsid w:val="00D338EA"/>
    <w:rsid w:val="00D508D4"/>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D3638E"/>
    <w:rsid w:val="030801C7"/>
    <w:rsid w:val="0342672B"/>
    <w:rsid w:val="0354043F"/>
    <w:rsid w:val="03E414F7"/>
    <w:rsid w:val="041D34B1"/>
    <w:rsid w:val="043639AB"/>
    <w:rsid w:val="058D2149"/>
    <w:rsid w:val="064D66A8"/>
    <w:rsid w:val="06C91B51"/>
    <w:rsid w:val="071C27DF"/>
    <w:rsid w:val="07390819"/>
    <w:rsid w:val="074200EB"/>
    <w:rsid w:val="076C3E7F"/>
    <w:rsid w:val="0793466C"/>
    <w:rsid w:val="07AC2DDA"/>
    <w:rsid w:val="07E72587"/>
    <w:rsid w:val="081640C8"/>
    <w:rsid w:val="08767876"/>
    <w:rsid w:val="08953EF3"/>
    <w:rsid w:val="08A26D49"/>
    <w:rsid w:val="08A8383F"/>
    <w:rsid w:val="08D91873"/>
    <w:rsid w:val="08DC3C98"/>
    <w:rsid w:val="08F2619E"/>
    <w:rsid w:val="08FD2829"/>
    <w:rsid w:val="094C3229"/>
    <w:rsid w:val="09603341"/>
    <w:rsid w:val="09723EE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E50E62"/>
    <w:rsid w:val="11583E25"/>
    <w:rsid w:val="11AA3A65"/>
    <w:rsid w:val="11DD564B"/>
    <w:rsid w:val="121C19E4"/>
    <w:rsid w:val="125163E9"/>
    <w:rsid w:val="12660006"/>
    <w:rsid w:val="129B0BEB"/>
    <w:rsid w:val="130E7E32"/>
    <w:rsid w:val="13214092"/>
    <w:rsid w:val="135B41D8"/>
    <w:rsid w:val="136A5781"/>
    <w:rsid w:val="13840522"/>
    <w:rsid w:val="13DA0586"/>
    <w:rsid w:val="13DF1AF7"/>
    <w:rsid w:val="13E908D0"/>
    <w:rsid w:val="13E9600F"/>
    <w:rsid w:val="140D648E"/>
    <w:rsid w:val="14561ECD"/>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A754CBE"/>
    <w:rsid w:val="1B242F44"/>
    <w:rsid w:val="1B762D07"/>
    <w:rsid w:val="1BAA67A2"/>
    <w:rsid w:val="1BB6752B"/>
    <w:rsid w:val="1C302A04"/>
    <w:rsid w:val="1C38507B"/>
    <w:rsid w:val="1C444661"/>
    <w:rsid w:val="1C4B69F4"/>
    <w:rsid w:val="1C9D4D14"/>
    <w:rsid w:val="1CFD502E"/>
    <w:rsid w:val="1DAF3467"/>
    <w:rsid w:val="1DBE0167"/>
    <w:rsid w:val="1DC15DE5"/>
    <w:rsid w:val="1E1C3549"/>
    <w:rsid w:val="1E4E5992"/>
    <w:rsid w:val="1EAA5DD0"/>
    <w:rsid w:val="1ED1758D"/>
    <w:rsid w:val="1EE76746"/>
    <w:rsid w:val="1F3B7BAA"/>
    <w:rsid w:val="1F663458"/>
    <w:rsid w:val="1FA75752"/>
    <w:rsid w:val="1FC35AFC"/>
    <w:rsid w:val="1FE85E0B"/>
    <w:rsid w:val="202C2643"/>
    <w:rsid w:val="202D7D92"/>
    <w:rsid w:val="204272B6"/>
    <w:rsid w:val="209D56BC"/>
    <w:rsid w:val="20A87175"/>
    <w:rsid w:val="21157B9B"/>
    <w:rsid w:val="21BA0857"/>
    <w:rsid w:val="21F363AE"/>
    <w:rsid w:val="2261222E"/>
    <w:rsid w:val="23005466"/>
    <w:rsid w:val="23152115"/>
    <w:rsid w:val="23187D85"/>
    <w:rsid w:val="231958A5"/>
    <w:rsid w:val="233676E6"/>
    <w:rsid w:val="23594597"/>
    <w:rsid w:val="236673EF"/>
    <w:rsid w:val="237B789E"/>
    <w:rsid w:val="23CA5B2A"/>
    <w:rsid w:val="23D864D1"/>
    <w:rsid w:val="23E52FF0"/>
    <w:rsid w:val="23EB3239"/>
    <w:rsid w:val="24644F69"/>
    <w:rsid w:val="25366BA0"/>
    <w:rsid w:val="2575559D"/>
    <w:rsid w:val="25A063E6"/>
    <w:rsid w:val="25B012B2"/>
    <w:rsid w:val="26166FE7"/>
    <w:rsid w:val="263A5781"/>
    <w:rsid w:val="266E1A48"/>
    <w:rsid w:val="26B10867"/>
    <w:rsid w:val="26C06765"/>
    <w:rsid w:val="26C77BAF"/>
    <w:rsid w:val="26D67325"/>
    <w:rsid w:val="26F06AAA"/>
    <w:rsid w:val="26FE4A9E"/>
    <w:rsid w:val="270F7146"/>
    <w:rsid w:val="272F7241"/>
    <w:rsid w:val="273529E4"/>
    <w:rsid w:val="27980CAE"/>
    <w:rsid w:val="27C23FF4"/>
    <w:rsid w:val="27E9034B"/>
    <w:rsid w:val="27F711FE"/>
    <w:rsid w:val="280A36C2"/>
    <w:rsid w:val="280F02BF"/>
    <w:rsid w:val="28230973"/>
    <w:rsid w:val="285D3006"/>
    <w:rsid w:val="288243D2"/>
    <w:rsid w:val="28832A69"/>
    <w:rsid w:val="289202C7"/>
    <w:rsid w:val="28C70EAE"/>
    <w:rsid w:val="28E077FF"/>
    <w:rsid w:val="29096866"/>
    <w:rsid w:val="29696031"/>
    <w:rsid w:val="297837E2"/>
    <w:rsid w:val="29907BC4"/>
    <w:rsid w:val="2A0D4C68"/>
    <w:rsid w:val="2A106B77"/>
    <w:rsid w:val="2A256738"/>
    <w:rsid w:val="2A4B40C5"/>
    <w:rsid w:val="2A825147"/>
    <w:rsid w:val="2ADA5F7A"/>
    <w:rsid w:val="2B031B05"/>
    <w:rsid w:val="2B2B5BB6"/>
    <w:rsid w:val="2B53636C"/>
    <w:rsid w:val="2B6275CF"/>
    <w:rsid w:val="2B793DBD"/>
    <w:rsid w:val="2BD07767"/>
    <w:rsid w:val="2C027745"/>
    <w:rsid w:val="2C146B8E"/>
    <w:rsid w:val="2C54538A"/>
    <w:rsid w:val="2C7A48BD"/>
    <w:rsid w:val="2C943CFE"/>
    <w:rsid w:val="2C984885"/>
    <w:rsid w:val="2CA155B1"/>
    <w:rsid w:val="2CBB20EA"/>
    <w:rsid w:val="2D966D63"/>
    <w:rsid w:val="2DA0709C"/>
    <w:rsid w:val="2DBB60AF"/>
    <w:rsid w:val="2DC351CA"/>
    <w:rsid w:val="2DFE3D49"/>
    <w:rsid w:val="2E1F4CB8"/>
    <w:rsid w:val="2E207222"/>
    <w:rsid w:val="2EF87B5B"/>
    <w:rsid w:val="2F73404D"/>
    <w:rsid w:val="2FA320B8"/>
    <w:rsid w:val="2FAC223A"/>
    <w:rsid w:val="2FC85808"/>
    <w:rsid w:val="2FD42A76"/>
    <w:rsid w:val="306A20E4"/>
    <w:rsid w:val="3076725A"/>
    <w:rsid w:val="30820F19"/>
    <w:rsid w:val="30851F15"/>
    <w:rsid w:val="3101078C"/>
    <w:rsid w:val="31235747"/>
    <w:rsid w:val="31242D2F"/>
    <w:rsid w:val="31B97799"/>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D323C3"/>
    <w:rsid w:val="3B103087"/>
    <w:rsid w:val="3B534979"/>
    <w:rsid w:val="3BDE5077"/>
    <w:rsid w:val="3C002732"/>
    <w:rsid w:val="3C6E13C1"/>
    <w:rsid w:val="3CAC1C64"/>
    <w:rsid w:val="3CCE207A"/>
    <w:rsid w:val="3CF53309"/>
    <w:rsid w:val="3D5273E6"/>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44F49"/>
    <w:rsid w:val="41E25A13"/>
    <w:rsid w:val="41F0585F"/>
    <w:rsid w:val="41F17CD6"/>
    <w:rsid w:val="42021D76"/>
    <w:rsid w:val="43AF534C"/>
    <w:rsid w:val="443B7603"/>
    <w:rsid w:val="44A16256"/>
    <w:rsid w:val="44F24C01"/>
    <w:rsid w:val="45A75091"/>
    <w:rsid w:val="45D61170"/>
    <w:rsid w:val="45FA2EAE"/>
    <w:rsid w:val="45FB7BBE"/>
    <w:rsid w:val="46321365"/>
    <w:rsid w:val="46990AB6"/>
    <w:rsid w:val="46BE61EE"/>
    <w:rsid w:val="46F45A28"/>
    <w:rsid w:val="471F3AAA"/>
    <w:rsid w:val="475A118E"/>
    <w:rsid w:val="47755418"/>
    <w:rsid w:val="479B3C1B"/>
    <w:rsid w:val="47AC700E"/>
    <w:rsid w:val="47B62D28"/>
    <w:rsid w:val="48495E6C"/>
    <w:rsid w:val="48695351"/>
    <w:rsid w:val="48DF318F"/>
    <w:rsid w:val="48ED214D"/>
    <w:rsid w:val="49B66CBA"/>
    <w:rsid w:val="49D92F2B"/>
    <w:rsid w:val="4A780A6F"/>
    <w:rsid w:val="4A7F5140"/>
    <w:rsid w:val="4A942DCC"/>
    <w:rsid w:val="4ADF082A"/>
    <w:rsid w:val="4B49162A"/>
    <w:rsid w:val="4BEF1CB8"/>
    <w:rsid w:val="4BEF7935"/>
    <w:rsid w:val="4C283123"/>
    <w:rsid w:val="4C6F2B54"/>
    <w:rsid w:val="4C730531"/>
    <w:rsid w:val="4CDF7C5E"/>
    <w:rsid w:val="4D081583"/>
    <w:rsid w:val="4D99642E"/>
    <w:rsid w:val="4DB447C8"/>
    <w:rsid w:val="4DCD15DC"/>
    <w:rsid w:val="4E177F5A"/>
    <w:rsid w:val="4E58728D"/>
    <w:rsid w:val="4E70374E"/>
    <w:rsid w:val="4E7B1437"/>
    <w:rsid w:val="4E9033A1"/>
    <w:rsid w:val="4F1E1EA3"/>
    <w:rsid w:val="4F3229E3"/>
    <w:rsid w:val="4F630DEA"/>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3A305A"/>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9035382"/>
    <w:rsid w:val="598612C2"/>
    <w:rsid w:val="59AB3409"/>
    <w:rsid w:val="5A0E0980"/>
    <w:rsid w:val="5A5C0DF7"/>
    <w:rsid w:val="5AAC3E65"/>
    <w:rsid w:val="5AB26144"/>
    <w:rsid w:val="5AC030CF"/>
    <w:rsid w:val="5AD55A9F"/>
    <w:rsid w:val="5AF20ED7"/>
    <w:rsid w:val="5B103419"/>
    <w:rsid w:val="5B236C80"/>
    <w:rsid w:val="5B3D1E12"/>
    <w:rsid w:val="5B7D1C80"/>
    <w:rsid w:val="5BA00201"/>
    <w:rsid w:val="5C64497C"/>
    <w:rsid w:val="5C802D8A"/>
    <w:rsid w:val="5CB85642"/>
    <w:rsid w:val="5CD549BD"/>
    <w:rsid w:val="5CE367C3"/>
    <w:rsid w:val="5D097C0E"/>
    <w:rsid w:val="5D587D6F"/>
    <w:rsid w:val="5D921888"/>
    <w:rsid w:val="5E5D2C68"/>
    <w:rsid w:val="5EA721B2"/>
    <w:rsid w:val="5EBF6555"/>
    <w:rsid w:val="5F11071A"/>
    <w:rsid w:val="5F192645"/>
    <w:rsid w:val="5F9E0A15"/>
    <w:rsid w:val="5FAC0675"/>
    <w:rsid w:val="6048101F"/>
    <w:rsid w:val="605B2CDE"/>
    <w:rsid w:val="60AF4C69"/>
    <w:rsid w:val="60E363EC"/>
    <w:rsid w:val="610A15BD"/>
    <w:rsid w:val="616216BB"/>
    <w:rsid w:val="61EA1817"/>
    <w:rsid w:val="62200A5F"/>
    <w:rsid w:val="62822AF3"/>
    <w:rsid w:val="62940529"/>
    <w:rsid w:val="63021BC0"/>
    <w:rsid w:val="63157C79"/>
    <w:rsid w:val="63564D46"/>
    <w:rsid w:val="639F33D3"/>
    <w:rsid w:val="64414A5D"/>
    <w:rsid w:val="64663390"/>
    <w:rsid w:val="647B44CB"/>
    <w:rsid w:val="64885008"/>
    <w:rsid w:val="648F77C3"/>
    <w:rsid w:val="649A6951"/>
    <w:rsid w:val="64A04A82"/>
    <w:rsid w:val="64DB3ACF"/>
    <w:rsid w:val="650A38BC"/>
    <w:rsid w:val="651F1292"/>
    <w:rsid w:val="65266429"/>
    <w:rsid w:val="65A868A6"/>
    <w:rsid w:val="65AA2420"/>
    <w:rsid w:val="65CE6989"/>
    <w:rsid w:val="660E4690"/>
    <w:rsid w:val="66670356"/>
    <w:rsid w:val="666D1C5B"/>
    <w:rsid w:val="667062CE"/>
    <w:rsid w:val="66AB2446"/>
    <w:rsid w:val="67135635"/>
    <w:rsid w:val="67394079"/>
    <w:rsid w:val="673D1349"/>
    <w:rsid w:val="674063B3"/>
    <w:rsid w:val="675947CD"/>
    <w:rsid w:val="67F635CE"/>
    <w:rsid w:val="68290467"/>
    <w:rsid w:val="686C79FD"/>
    <w:rsid w:val="68B70F96"/>
    <w:rsid w:val="69246C5B"/>
    <w:rsid w:val="69310A84"/>
    <w:rsid w:val="69E4173C"/>
    <w:rsid w:val="6A082616"/>
    <w:rsid w:val="6A4B22C7"/>
    <w:rsid w:val="6A531AFC"/>
    <w:rsid w:val="6AF75429"/>
    <w:rsid w:val="6AFC7388"/>
    <w:rsid w:val="6B880326"/>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1D940C2"/>
    <w:rsid w:val="72042C01"/>
    <w:rsid w:val="72334302"/>
    <w:rsid w:val="723949C4"/>
    <w:rsid w:val="723A4246"/>
    <w:rsid w:val="728A4582"/>
    <w:rsid w:val="72C2652A"/>
    <w:rsid w:val="73032956"/>
    <w:rsid w:val="733D5F8B"/>
    <w:rsid w:val="73E921A8"/>
    <w:rsid w:val="741075B3"/>
    <w:rsid w:val="74787477"/>
    <w:rsid w:val="74AD0DD8"/>
    <w:rsid w:val="74B013A4"/>
    <w:rsid w:val="74F87CA0"/>
    <w:rsid w:val="753F5BEB"/>
    <w:rsid w:val="756C1B95"/>
    <w:rsid w:val="75705AAF"/>
    <w:rsid w:val="75B271F3"/>
    <w:rsid w:val="75B93772"/>
    <w:rsid w:val="75F74A34"/>
    <w:rsid w:val="764879E2"/>
    <w:rsid w:val="76BF2D5B"/>
    <w:rsid w:val="770E0341"/>
    <w:rsid w:val="77332061"/>
    <w:rsid w:val="77514B17"/>
    <w:rsid w:val="778D14C9"/>
    <w:rsid w:val="77E506D7"/>
    <w:rsid w:val="77F11026"/>
    <w:rsid w:val="78081390"/>
    <w:rsid w:val="78124A47"/>
    <w:rsid w:val="781813D7"/>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C97E3E"/>
    <w:rsid w:val="7ADD56FC"/>
    <w:rsid w:val="7B054783"/>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 w:val="7FC17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7"/>
    <w:autoRedefine/>
    <w:qFormat/>
    <w:uiPriority w:val="9"/>
    <w:pPr>
      <w:keepNext/>
      <w:keepLines/>
      <w:spacing w:before="340" w:after="330" w:line="578" w:lineRule="auto"/>
      <w:outlineLvl w:val="0"/>
    </w:pPr>
    <w:rPr>
      <w:b/>
      <w:bCs/>
      <w:kern w:val="44"/>
      <w:sz w:val="44"/>
      <w:szCs w:val="44"/>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21"/>
    <w:autoRedefine/>
    <w:unhideWhenUsed/>
    <w:qFormat/>
    <w:uiPriority w:val="99"/>
    <w:rPr>
      <w:sz w:val="18"/>
      <w:szCs w:val="18"/>
    </w:rPr>
  </w:style>
  <w:style w:type="paragraph" w:styleId="4">
    <w:name w:val="footer"/>
    <w:basedOn w:val="1"/>
    <w:link w:val="13"/>
    <w:autoRedefine/>
    <w:qFormat/>
    <w:uiPriority w:val="99"/>
    <w:pPr>
      <w:tabs>
        <w:tab w:val="center" w:pos="4153"/>
        <w:tab w:val="right" w:pos="8306"/>
      </w:tabs>
      <w:snapToGrid w:val="0"/>
      <w:jc w:val="left"/>
    </w:pPr>
    <w:rPr>
      <w:sz w:val="18"/>
      <w:szCs w:val="18"/>
    </w:rPr>
  </w:style>
  <w:style w:type="paragraph" w:styleId="5">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rPr>
  </w:style>
  <w:style w:type="character" w:styleId="11">
    <w:name w:val="page number"/>
    <w:basedOn w:val="9"/>
    <w:autoRedefine/>
    <w:qFormat/>
    <w:uiPriority w:val="0"/>
  </w:style>
  <w:style w:type="character" w:styleId="12">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3">
    <w:name w:val="页脚 字符"/>
    <w:basedOn w:val="9"/>
    <w:link w:val="4"/>
    <w:autoRedefine/>
    <w:qFormat/>
    <w:uiPriority w:val="99"/>
    <w:rPr>
      <w:rFonts w:ascii="Times New Roman" w:hAnsi="Times New Roman" w:eastAsia="宋体" w:cs="Times New Roman"/>
      <w:sz w:val="18"/>
      <w:szCs w:val="18"/>
    </w:rPr>
  </w:style>
  <w:style w:type="paragraph" w:customStyle="1" w:styleId="14">
    <w:name w:val="样式 标题 1 + 首行缩进:  2 字符"/>
    <w:basedOn w:val="2"/>
    <w:next w:val="1"/>
    <w:autoRedefine/>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5">
    <w:name w:val="正文表格"/>
    <w:basedOn w:val="1"/>
    <w:autoRedefine/>
    <w:qFormat/>
    <w:uiPriority w:val="0"/>
    <w:pPr>
      <w:spacing w:before="60" w:after="60"/>
    </w:pPr>
    <w:rPr>
      <w:sz w:val="24"/>
    </w:rPr>
  </w:style>
  <w:style w:type="character" w:customStyle="1" w:styleId="16">
    <w:name w:val="页眉 字符"/>
    <w:basedOn w:val="9"/>
    <w:link w:val="5"/>
    <w:autoRedefine/>
    <w:qFormat/>
    <w:uiPriority w:val="99"/>
    <w:rPr>
      <w:rFonts w:ascii="Times New Roman" w:hAnsi="Times New Roman" w:eastAsia="宋体" w:cs="Times New Roman"/>
      <w:sz w:val="18"/>
      <w:szCs w:val="18"/>
      <w:lang w:val="zh-CN" w:eastAsia="zh-CN"/>
    </w:rPr>
  </w:style>
  <w:style w:type="character" w:customStyle="1" w:styleId="17">
    <w:name w:val="标题 1 字符"/>
    <w:basedOn w:val="9"/>
    <w:link w:val="2"/>
    <w:autoRedefine/>
    <w:qFormat/>
    <w:uiPriority w:val="9"/>
    <w:rPr>
      <w:rFonts w:ascii="Times New Roman" w:hAnsi="Times New Roman" w:eastAsia="宋体" w:cs="Times New Roman"/>
      <w:b/>
      <w:bCs/>
      <w:kern w:val="44"/>
      <w:sz w:val="44"/>
      <w:szCs w:val="44"/>
    </w:rPr>
  </w:style>
  <w:style w:type="paragraph" w:customStyle="1" w:styleId="18">
    <w:name w:val="列出段落1"/>
    <w:basedOn w:val="1"/>
    <w:autoRedefine/>
    <w:qFormat/>
    <w:uiPriority w:val="99"/>
    <w:pPr>
      <w:ind w:firstLine="420" w:firstLineChars="200"/>
    </w:pPr>
  </w:style>
  <w:style w:type="character" w:customStyle="1" w:styleId="19">
    <w:name w:val="font6"/>
    <w:basedOn w:val="9"/>
    <w:autoRedefine/>
    <w:qFormat/>
    <w:uiPriority w:val="0"/>
  </w:style>
  <w:style w:type="character" w:customStyle="1" w:styleId="20">
    <w:name w:val="font5"/>
    <w:basedOn w:val="9"/>
    <w:autoRedefine/>
    <w:qFormat/>
    <w:uiPriority w:val="0"/>
  </w:style>
  <w:style w:type="character" w:customStyle="1" w:styleId="21">
    <w:name w:val="批注框文本 字符"/>
    <w:basedOn w:val="9"/>
    <w:link w:val="3"/>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1341</Words>
  <Characters>1414</Characters>
  <Lines>14</Lines>
  <Paragraphs>4</Paragraphs>
  <TotalTime>59</TotalTime>
  <ScaleCrop>false</ScaleCrop>
  <LinksUpToDate>false</LinksUpToDate>
  <CharactersWithSpaces>1573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2024-03-07T15:43:00Z</dcterms:created>
  <dc:creator>yjhe</dc:creator>
  <cp:lastModifiedBy>谢梦蝶</cp:lastModifiedBy>
  <cp:lastPrinted>2019-08-14T07:32:00Z</cp:lastPrinted>
  <dcterms:modified xsi:type="dcterms:W3CDTF">2026-10-16T04:24:43Z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FA241241E6924F0C8B4619A8239172E7_13</vt:lpwstr>
  </property>
  <property fmtid="{D5CDD505-2E9C-101B-9397-08002B2CF9AE}" pid="4" name="KSOTemplateDocerSaveRecord">
    <vt:lpwstr>eyJoZGlkIjoiMThlODIwNjU2ZGM0NDgzYTczMWZiNjExOGQzMDZkY2IiLCJ1c2VySWQiOiIzMTg4Njg5NDYifQ==</vt:lpwstr>
  </property>
</Properties>
</file>