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AF8FF36">
      <w:pPr>
        <w:jc w:val="center"/>
        <w:rPr>
          <w:rFonts w:ascii="方正小标宋_GBK" w:hAnsi="方正小标宋_GBK" w:eastAsia="方正小标宋_GBK" w:cs="方正小标宋_GBK"/>
          <w:b/>
          <w:sz w:val="24"/>
          <w:szCs w:val="24"/>
        </w:rPr>
      </w:pPr>
      <w:bookmarkStart w:id="0" w:name="OLE_LINK8"/>
      <w:bookmarkStart w:id="1" w:name="OLE_LINK7"/>
      <w:r>
        <w:rPr>
          <w:rFonts w:hint="eastAsia" w:ascii="方正小标宋_GBK" w:hAnsi="方正小标宋_GBK" w:eastAsia="方正小标宋_GBK" w:cs="方正小标宋_GBK"/>
          <w:b/>
          <w:sz w:val="44"/>
          <w:szCs w:val="44"/>
        </w:rPr>
        <w:t>企业国有资产出租挂牌</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145"/>
        <w:gridCol w:w="1396"/>
        <w:gridCol w:w="751"/>
        <w:gridCol w:w="248"/>
        <w:gridCol w:w="2395"/>
      </w:tblGrid>
      <w:tr w14:paraId="23DA2E9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14:paraId="2AA3580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出租标的名称</w:t>
            </w:r>
          </w:p>
        </w:tc>
        <w:tc>
          <w:tcPr>
            <w:tcW w:w="7384" w:type="dxa"/>
            <w:gridSpan w:val="7"/>
            <w:vAlign w:val="center"/>
          </w:tcPr>
          <w:p w14:paraId="4E4C93A1">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韶山市清溪镇迎宾路五号有个兄弟酒店</w:t>
            </w:r>
          </w:p>
        </w:tc>
      </w:tr>
      <w:tr w14:paraId="42BE37D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bottom w:val="single" w:color="auto" w:sz="4" w:space="0"/>
            </w:tcBorders>
            <w:vAlign w:val="center"/>
          </w:tcPr>
          <w:p w14:paraId="76BB823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挂牌价格（元）</w:t>
            </w:r>
          </w:p>
        </w:tc>
        <w:tc>
          <w:tcPr>
            <w:tcW w:w="7384" w:type="dxa"/>
            <w:gridSpan w:val="7"/>
            <w:tcBorders>
              <w:bottom w:val="single" w:color="auto" w:sz="4" w:space="0"/>
            </w:tcBorders>
            <w:vAlign w:val="center"/>
          </w:tcPr>
          <w:p w14:paraId="23904B5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41.28</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lang w:val="en-US" w:eastAsia="zh-CN"/>
              </w:rPr>
              <w:t>万</w:t>
            </w:r>
            <w:r>
              <w:rPr>
                <w:rFonts w:hint="eastAsia" w:ascii="微软雅黑" w:hAnsi="微软雅黑" w:eastAsia="微软雅黑" w:cs="微软雅黑"/>
                <w:color w:val="auto"/>
                <w:kern w:val="0"/>
                <w:szCs w:val="21"/>
              </w:rPr>
              <w:t>元</w:t>
            </w:r>
            <w:r>
              <w:rPr>
                <w:rFonts w:hint="eastAsia" w:ascii="微软雅黑" w:hAnsi="微软雅黑" w:eastAsia="微软雅黑" w:cs="微软雅黑"/>
                <w:color w:val="auto"/>
                <w:kern w:val="0"/>
                <w:szCs w:val="21"/>
                <w:lang w:val="en-US" w:eastAsia="zh-CN"/>
              </w:rPr>
              <w:t>每</w:t>
            </w:r>
            <w:r>
              <w:rPr>
                <w:rFonts w:hint="eastAsia" w:ascii="微软雅黑" w:hAnsi="微软雅黑" w:eastAsia="微软雅黑" w:cs="微软雅黑"/>
                <w:color w:val="auto"/>
                <w:kern w:val="0"/>
                <w:szCs w:val="21"/>
              </w:rPr>
              <w:t>年</w:t>
            </w:r>
          </w:p>
        </w:tc>
      </w:tr>
      <w:tr w14:paraId="4F88F07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3CB16B3D">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出租方基本情况</w:t>
            </w:r>
          </w:p>
        </w:tc>
      </w:tr>
      <w:tr w14:paraId="48B5929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7657A7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5E77E058">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韶山旅游发展集团酒店管理有限公司</w:t>
            </w:r>
          </w:p>
        </w:tc>
      </w:tr>
      <w:tr w14:paraId="018111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7BE887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0C9D2A84">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韶山市清溪镇迎宾路五号（有个兄弟酒店）</w:t>
            </w:r>
          </w:p>
        </w:tc>
      </w:tr>
      <w:tr w14:paraId="2B542E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827034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14:paraId="6EF7FA2C">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彭霖</w:t>
            </w:r>
          </w:p>
        </w:tc>
        <w:tc>
          <w:tcPr>
            <w:tcW w:w="1734" w:type="dxa"/>
            <w:gridSpan w:val="3"/>
            <w:tcBorders>
              <w:top w:val="single" w:color="auto" w:sz="4" w:space="0"/>
              <w:left w:val="single" w:color="auto" w:sz="4" w:space="0"/>
              <w:bottom w:val="single" w:color="auto" w:sz="4" w:space="0"/>
              <w:right w:val="single" w:color="auto" w:sz="4" w:space="0"/>
            </w:tcBorders>
            <w:vAlign w:val="center"/>
          </w:tcPr>
          <w:p w14:paraId="57BFE36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统一社会</w:t>
            </w:r>
          </w:p>
          <w:p w14:paraId="3CA2451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信用代码</w:t>
            </w:r>
          </w:p>
        </w:tc>
        <w:tc>
          <w:tcPr>
            <w:tcW w:w="3394" w:type="dxa"/>
            <w:gridSpan w:val="3"/>
            <w:tcBorders>
              <w:top w:val="single" w:color="auto" w:sz="4" w:space="0"/>
              <w:left w:val="single" w:color="auto" w:sz="4" w:space="0"/>
              <w:bottom w:val="single" w:color="auto" w:sz="4" w:space="0"/>
              <w:right w:val="single" w:color="auto" w:sz="4" w:space="0"/>
            </w:tcBorders>
            <w:vAlign w:val="center"/>
          </w:tcPr>
          <w:p w14:paraId="6DB6B5E0">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91430382MA4LW8H912</w:t>
            </w:r>
          </w:p>
        </w:tc>
      </w:tr>
      <w:tr w14:paraId="5AB6CF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7672B57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项目联系人</w:t>
            </w:r>
          </w:p>
        </w:tc>
        <w:tc>
          <w:tcPr>
            <w:tcW w:w="2256" w:type="dxa"/>
            <w:tcBorders>
              <w:top w:val="single" w:color="auto" w:sz="4" w:space="0"/>
              <w:left w:val="single" w:color="auto" w:sz="4" w:space="0"/>
              <w:bottom w:val="single" w:color="auto" w:sz="4" w:space="0"/>
              <w:right w:val="single" w:color="auto" w:sz="4" w:space="0"/>
            </w:tcBorders>
            <w:vAlign w:val="center"/>
          </w:tcPr>
          <w:p w14:paraId="2F8B54D9">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欧婧宜</w:t>
            </w:r>
          </w:p>
        </w:tc>
        <w:tc>
          <w:tcPr>
            <w:tcW w:w="1734" w:type="dxa"/>
            <w:gridSpan w:val="3"/>
            <w:tcBorders>
              <w:top w:val="single" w:color="auto" w:sz="4" w:space="0"/>
              <w:left w:val="single" w:color="auto" w:sz="4" w:space="0"/>
              <w:bottom w:val="single" w:color="auto" w:sz="4" w:space="0"/>
              <w:right w:val="single" w:color="auto" w:sz="4" w:space="0"/>
            </w:tcBorders>
            <w:vAlign w:val="center"/>
          </w:tcPr>
          <w:p w14:paraId="069173A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联系电话</w:t>
            </w:r>
          </w:p>
        </w:tc>
        <w:tc>
          <w:tcPr>
            <w:tcW w:w="3394" w:type="dxa"/>
            <w:gridSpan w:val="3"/>
            <w:tcBorders>
              <w:top w:val="single" w:color="auto" w:sz="4" w:space="0"/>
              <w:left w:val="single" w:color="auto" w:sz="4" w:space="0"/>
              <w:bottom w:val="single" w:color="auto" w:sz="4" w:space="0"/>
              <w:right w:val="single" w:color="auto" w:sz="4" w:space="0"/>
            </w:tcBorders>
            <w:vAlign w:val="center"/>
          </w:tcPr>
          <w:p w14:paraId="6BC2AFA9">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13975273775</w:t>
            </w:r>
          </w:p>
        </w:tc>
      </w:tr>
      <w:tr w14:paraId="5D7574D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12"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3FBE64F2">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出租标的基本情况</w:t>
            </w:r>
          </w:p>
        </w:tc>
      </w:tr>
      <w:tr w14:paraId="10CB6D5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5D08589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出租面积</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7E434420">
            <w:pPr>
              <w:spacing w:line="380" w:lineRule="exact"/>
              <w:textAlignment w:val="baseline"/>
              <w:rPr>
                <w:rFonts w:hint="default" w:ascii="微软雅黑" w:hAnsi="微软雅黑" w:eastAsia="微软雅黑" w:cs="微软雅黑"/>
                <w:color w:val="auto"/>
                <w:kern w:val="0"/>
                <w:szCs w:val="21"/>
                <w:lang w:val="en-US"/>
              </w:rPr>
            </w:pPr>
            <w:r>
              <w:rPr>
                <w:rFonts w:hint="eastAsia" w:ascii="微软雅黑" w:hAnsi="微软雅黑" w:eastAsia="微软雅黑" w:cs="微软雅黑"/>
                <w:color w:val="auto"/>
                <w:kern w:val="0"/>
                <w:szCs w:val="21"/>
                <w:lang w:val="en-US" w:eastAsia="zh-CN"/>
              </w:rPr>
              <w:t xml:space="preserve"> 2582平方米</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11F6334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坐落位置</w:t>
            </w:r>
          </w:p>
        </w:tc>
        <w:tc>
          <w:tcPr>
            <w:tcW w:w="2395" w:type="dxa"/>
            <w:tcBorders>
              <w:top w:val="single" w:color="auto" w:sz="4" w:space="0"/>
              <w:left w:val="single" w:color="auto" w:sz="4" w:space="0"/>
              <w:bottom w:val="single" w:color="auto" w:sz="4" w:space="0"/>
              <w:right w:val="single" w:color="auto" w:sz="4" w:space="0"/>
            </w:tcBorders>
            <w:vAlign w:val="center"/>
          </w:tcPr>
          <w:p w14:paraId="05F5C293">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韶山市清溪镇迎宾路五号（有个兄弟酒店）</w:t>
            </w:r>
          </w:p>
        </w:tc>
      </w:tr>
      <w:tr w14:paraId="600BF16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5FA515D8">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不动产权证号/房产证号</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12EBFBFB">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湘(2018)韶山市不动产权第0000784号</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491FA48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租赁期限</w:t>
            </w:r>
          </w:p>
        </w:tc>
        <w:tc>
          <w:tcPr>
            <w:tcW w:w="2395" w:type="dxa"/>
            <w:tcBorders>
              <w:top w:val="single" w:color="auto" w:sz="4" w:space="0"/>
              <w:left w:val="single" w:color="auto" w:sz="4" w:space="0"/>
              <w:bottom w:val="single" w:color="auto" w:sz="4" w:space="0"/>
              <w:right w:val="single" w:color="auto" w:sz="4" w:space="0"/>
            </w:tcBorders>
            <w:vAlign w:val="center"/>
          </w:tcPr>
          <w:p w14:paraId="35137D36">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3-5年</w:t>
            </w:r>
          </w:p>
        </w:tc>
      </w:tr>
      <w:tr w14:paraId="6441954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76"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7C536A9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年租金及调整方式</w:t>
            </w:r>
          </w:p>
        </w:tc>
        <w:tc>
          <w:tcPr>
            <w:tcW w:w="7956" w:type="dxa"/>
            <w:gridSpan w:val="8"/>
            <w:tcBorders>
              <w:top w:val="single" w:color="auto" w:sz="4" w:space="0"/>
              <w:left w:val="single" w:color="auto" w:sz="4" w:space="0"/>
              <w:bottom w:val="single" w:color="auto" w:sz="4" w:space="0"/>
              <w:right w:val="single" w:color="auto" w:sz="4" w:space="0"/>
            </w:tcBorders>
            <w:vAlign w:val="center"/>
          </w:tcPr>
          <w:p w14:paraId="21A31F94">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41.28万元/年</w:t>
            </w:r>
          </w:p>
        </w:tc>
      </w:tr>
      <w:tr w14:paraId="5152C68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60473E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资产使用用途要求</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5F337E4D">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合法合规商业经营（严格服从业主方整体业态及外立面形象管理；禁止经营产生刺激性气味、重油重烟类业态；）意向承租方须在报名前踏勘出租物业现场情况，同时签署《现场踏勘确认书》及《意向经营范围表》。</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56978BB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水、电、气、热、物业费等费用的约定</w:t>
            </w:r>
          </w:p>
        </w:tc>
        <w:tc>
          <w:tcPr>
            <w:tcW w:w="2395" w:type="dxa"/>
            <w:tcBorders>
              <w:top w:val="single" w:color="auto" w:sz="4" w:space="0"/>
              <w:left w:val="single" w:color="auto" w:sz="4" w:space="0"/>
              <w:bottom w:val="single" w:color="auto" w:sz="4" w:space="0"/>
              <w:right w:val="single" w:color="auto" w:sz="4" w:space="0"/>
            </w:tcBorders>
            <w:vAlign w:val="center"/>
          </w:tcPr>
          <w:p w14:paraId="3AA9BAB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val="en-US" w:eastAsia="zh-CN"/>
              </w:rPr>
              <w:t>水电费：按实收取，代收代缴（</w:t>
            </w:r>
            <w:r>
              <w:rPr>
                <w:rFonts w:hint="default" w:ascii="微软雅黑" w:hAnsi="微软雅黑" w:eastAsia="微软雅黑" w:cs="微软雅黑"/>
                <w:color w:val="auto"/>
                <w:kern w:val="0"/>
                <w:szCs w:val="21"/>
                <w:lang w:val="en-US" w:eastAsia="zh-CN"/>
              </w:rPr>
              <w:t>电</w:t>
            </w:r>
            <w:r>
              <w:rPr>
                <w:rFonts w:hint="eastAsia" w:ascii="微软雅黑" w:hAnsi="微软雅黑" w:eastAsia="微软雅黑" w:cs="微软雅黑"/>
                <w:color w:val="auto"/>
                <w:kern w:val="0"/>
                <w:szCs w:val="21"/>
                <w:lang w:val="en-US" w:eastAsia="zh-CN"/>
              </w:rPr>
              <w:t>1.15</w:t>
            </w:r>
            <w:r>
              <w:rPr>
                <w:rFonts w:hint="default" w:ascii="微软雅黑" w:hAnsi="微软雅黑" w:eastAsia="微软雅黑" w:cs="微软雅黑"/>
                <w:color w:val="auto"/>
                <w:kern w:val="0"/>
                <w:szCs w:val="21"/>
                <w:lang w:val="en-US" w:eastAsia="zh-CN"/>
              </w:rPr>
              <w:t>元/度</w:t>
            </w:r>
            <w:r>
              <w:rPr>
                <w:rFonts w:hint="eastAsia" w:ascii="微软雅黑" w:hAnsi="微软雅黑" w:eastAsia="微软雅黑" w:cs="微软雅黑"/>
                <w:color w:val="auto"/>
                <w:kern w:val="0"/>
                <w:szCs w:val="21"/>
                <w:lang w:val="en-US" w:eastAsia="zh-CN"/>
              </w:rPr>
              <w:t>、</w:t>
            </w:r>
            <w:r>
              <w:rPr>
                <w:rFonts w:hint="default" w:ascii="微软雅黑" w:hAnsi="微软雅黑" w:eastAsia="微软雅黑" w:cs="微软雅黑"/>
                <w:color w:val="auto"/>
                <w:kern w:val="0"/>
                <w:szCs w:val="21"/>
                <w:lang w:val="en-US" w:eastAsia="zh-CN"/>
              </w:rPr>
              <w:t>水</w:t>
            </w:r>
            <w:r>
              <w:rPr>
                <w:rFonts w:hint="eastAsia" w:ascii="微软雅黑" w:hAnsi="微软雅黑" w:eastAsia="微软雅黑" w:cs="微软雅黑"/>
                <w:color w:val="auto"/>
                <w:kern w:val="0"/>
                <w:szCs w:val="21"/>
                <w:lang w:val="en-US" w:eastAsia="zh-CN"/>
              </w:rPr>
              <w:t>5.9</w:t>
            </w:r>
            <w:r>
              <w:rPr>
                <w:rFonts w:hint="default" w:ascii="微软雅黑" w:hAnsi="微软雅黑" w:eastAsia="微软雅黑" w:cs="微软雅黑"/>
                <w:color w:val="auto"/>
                <w:kern w:val="0"/>
                <w:szCs w:val="21"/>
                <w:lang w:val="en-US" w:eastAsia="zh-CN"/>
              </w:rPr>
              <w:t>元/吨</w:t>
            </w:r>
            <w:r>
              <w:rPr>
                <w:rFonts w:hint="eastAsia" w:ascii="微软雅黑" w:hAnsi="微软雅黑" w:eastAsia="微软雅黑" w:cs="微软雅黑"/>
                <w:color w:val="auto"/>
                <w:kern w:val="0"/>
                <w:szCs w:val="21"/>
                <w:lang w:val="en-US" w:eastAsia="zh-CN"/>
              </w:rPr>
              <w:t>）</w:t>
            </w:r>
          </w:p>
        </w:tc>
      </w:tr>
      <w:tr w14:paraId="4E81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14:paraId="04C21776">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出租行为批准（备案）及资产评估情况</w:t>
            </w:r>
          </w:p>
        </w:tc>
      </w:tr>
      <w:tr w14:paraId="7E261D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5371D27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2DFA504E">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val="en-US" w:eastAsia="zh-CN"/>
              </w:rPr>
              <w:t xml:space="preserve"> 韶山旅游发展集团酒店管理有限公司</w:t>
            </w:r>
          </w:p>
        </w:tc>
        <w:tc>
          <w:tcPr>
            <w:tcW w:w="2292" w:type="dxa"/>
            <w:gridSpan w:val="3"/>
            <w:tcBorders>
              <w:top w:val="single" w:color="auto" w:sz="2" w:space="0"/>
              <w:left w:val="single" w:color="auto" w:sz="2" w:space="0"/>
              <w:bottom w:val="single" w:color="auto" w:sz="2" w:space="0"/>
              <w:right w:val="single" w:color="auto" w:sz="2" w:space="0"/>
            </w:tcBorders>
            <w:vAlign w:val="center"/>
          </w:tcPr>
          <w:p w14:paraId="1E1E7DF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批准（备案）文号</w:t>
            </w:r>
          </w:p>
        </w:tc>
        <w:tc>
          <w:tcPr>
            <w:tcW w:w="2643" w:type="dxa"/>
            <w:gridSpan w:val="2"/>
            <w:tcBorders>
              <w:top w:val="single" w:color="auto" w:sz="2" w:space="0"/>
              <w:left w:val="single" w:color="auto" w:sz="2" w:space="0"/>
              <w:bottom w:val="single" w:color="auto" w:sz="2" w:space="0"/>
              <w:right w:val="single" w:color="auto" w:sz="2" w:space="0"/>
            </w:tcBorders>
            <w:vAlign w:val="center"/>
          </w:tcPr>
          <w:p w14:paraId="3ED7F47F">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val="en-US" w:eastAsia="zh-CN"/>
              </w:rPr>
              <w:t xml:space="preserve"> 中共韶山旅游发展集团酒店管理有限公司支部委员会会议纪要2026年第 次</w:t>
            </w:r>
          </w:p>
        </w:tc>
      </w:tr>
      <w:tr w14:paraId="51FAFA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23EDDAB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资产出租定价方式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13344D0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sym w:font="Wingdings 2" w:char="0052"/>
            </w:r>
            <w:r>
              <w:rPr>
                <w:rFonts w:hint="eastAsia" w:ascii="微软雅黑" w:hAnsi="微软雅黑" w:eastAsia="微软雅黑" w:cs="微软雅黑"/>
                <w:color w:val="auto"/>
                <w:kern w:val="0"/>
                <w:szCs w:val="21"/>
              </w:rPr>
              <w:t xml:space="preserve"> 资产评估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 市场询价</w:t>
            </w:r>
          </w:p>
        </w:tc>
        <w:tc>
          <w:tcPr>
            <w:tcW w:w="2292" w:type="dxa"/>
            <w:gridSpan w:val="3"/>
            <w:tcBorders>
              <w:top w:val="single" w:color="auto" w:sz="2" w:space="0"/>
              <w:left w:val="single" w:color="auto" w:sz="2" w:space="0"/>
              <w:bottom w:val="single" w:color="auto" w:sz="2" w:space="0"/>
              <w:right w:val="single" w:color="auto" w:sz="2" w:space="0"/>
            </w:tcBorders>
            <w:vAlign w:val="center"/>
          </w:tcPr>
          <w:p w14:paraId="433EA48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sym w:font="Wingdings 2" w:char="0052"/>
            </w:r>
            <w:r>
              <w:rPr>
                <w:rFonts w:hint="eastAsia" w:ascii="微软雅黑" w:hAnsi="微软雅黑" w:eastAsia="微软雅黑" w:cs="微软雅黑"/>
                <w:color w:val="auto"/>
                <w:kern w:val="0"/>
                <w:szCs w:val="21"/>
              </w:rPr>
              <w:t xml:space="preserve">评估值 </w:t>
            </w:r>
            <w:r>
              <w:rPr>
                <w:rFonts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询价结果</w:t>
            </w:r>
          </w:p>
        </w:tc>
        <w:tc>
          <w:tcPr>
            <w:tcW w:w="2643" w:type="dxa"/>
            <w:gridSpan w:val="2"/>
            <w:tcBorders>
              <w:top w:val="single" w:color="auto" w:sz="2" w:space="0"/>
              <w:left w:val="single" w:color="auto" w:sz="2" w:space="0"/>
              <w:bottom w:val="single" w:color="auto" w:sz="2" w:space="0"/>
              <w:right w:val="single" w:color="auto" w:sz="2" w:space="0"/>
            </w:tcBorders>
            <w:vAlign w:val="center"/>
          </w:tcPr>
          <w:p w14:paraId="05B44F57">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w:t>
            </w:r>
          </w:p>
        </w:tc>
      </w:tr>
      <w:tr w14:paraId="15CF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14:paraId="3ABB5016">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挂牌公告期</w:t>
            </w:r>
          </w:p>
        </w:tc>
      </w:tr>
      <w:tr w14:paraId="3176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14:paraId="698F809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挂牌公告期：自公告之日起 </w:t>
            </w:r>
            <w:r>
              <w:rPr>
                <w:rFonts w:hint="eastAsia" w:ascii="微软雅黑" w:hAnsi="微软雅黑" w:eastAsia="微软雅黑" w:cs="微软雅黑"/>
                <w:color w:val="auto"/>
                <w:kern w:val="0"/>
                <w:szCs w:val="21"/>
                <w:lang w:val="en-US" w:eastAsia="zh-CN"/>
              </w:rPr>
              <w:t>5</w:t>
            </w:r>
            <w:r>
              <w:rPr>
                <w:rFonts w:hint="eastAsia" w:ascii="微软雅黑" w:hAnsi="微软雅黑" w:eastAsia="微软雅黑" w:cs="微软雅黑"/>
                <w:color w:val="auto"/>
                <w:kern w:val="0"/>
                <w:szCs w:val="21"/>
              </w:rPr>
              <w:t>个工作日</w:t>
            </w:r>
          </w:p>
          <w:p w14:paraId="71BA65C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1、挂牌价格低于100万元的资产，挂牌期不少于</w:t>
            </w:r>
            <w:r>
              <w:rPr>
                <w:rFonts w:hint="eastAsia" w:ascii="微软雅黑" w:hAnsi="微软雅黑" w:eastAsia="微软雅黑" w:cs="微软雅黑"/>
                <w:color w:val="auto"/>
                <w:kern w:val="0"/>
                <w:szCs w:val="21"/>
                <w:lang w:val="en-US" w:eastAsia="zh-CN"/>
              </w:rPr>
              <w:t xml:space="preserve"> 5</w:t>
            </w:r>
            <w:r>
              <w:rPr>
                <w:rFonts w:hint="eastAsia" w:ascii="微软雅黑" w:hAnsi="微软雅黑" w:eastAsia="微软雅黑" w:cs="微软雅黑"/>
                <w:color w:val="auto"/>
                <w:kern w:val="0"/>
                <w:szCs w:val="21"/>
              </w:rPr>
              <w:t>个工作日；</w:t>
            </w:r>
          </w:p>
          <w:p w14:paraId="14E07CC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2、挂牌底价等于或高于100万元、低于1000万元的项目，挂牌期不少于10个工作日；</w:t>
            </w:r>
          </w:p>
          <w:p w14:paraId="63B1084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3、挂牌底价等于或高于1000万元的项目，挂牌期不少于20个工作日。</w:t>
            </w:r>
          </w:p>
        </w:tc>
      </w:tr>
      <w:tr w14:paraId="37FB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14:paraId="6F289D8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挂牌期满，如未征集到意向承租方，则：    </w:t>
            </w:r>
          </w:p>
          <w:p w14:paraId="417115E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不变更挂牌条件，按照5个工作日为一个延长周期，最多顺延</w:t>
            </w:r>
            <w:r>
              <w:rPr>
                <w:rFonts w:hint="eastAsia" w:ascii="微软雅黑" w:hAnsi="微软雅黑" w:eastAsia="微软雅黑" w:cs="微软雅黑"/>
                <w:color w:val="auto"/>
                <w:kern w:val="0"/>
                <w:szCs w:val="21"/>
                <w:u w:val="single"/>
                <w:lang w:val="en-US" w:eastAsia="zh-CN"/>
              </w:rPr>
              <w:t xml:space="preserve"> 30</w:t>
            </w:r>
            <w:r>
              <w:rPr>
                <w:rFonts w:hint="eastAsia" w:ascii="微软雅黑" w:hAnsi="微软雅黑" w:eastAsia="微软雅黑" w:cs="微软雅黑"/>
                <w:color w:val="auto"/>
                <w:kern w:val="0"/>
                <w:szCs w:val="21"/>
              </w:rPr>
              <w:t>个周期。</w:t>
            </w:r>
          </w:p>
          <w:p w14:paraId="3A7E835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变更挂牌条件，待重新办理挂牌手续后再次挂牌。</w:t>
            </w:r>
          </w:p>
          <w:p w14:paraId="123895C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撤牌。</w:t>
            </w:r>
          </w:p>
          <w:p w14:paraId="5AECDA4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其他：另行协商。</w:t>
            </w:r>
          </w:p>
        </w:tc>
      </w:tr>
      <w:tr w14:paraId="45CC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579" w:type="dxa"/>
            <w:gridSpan w:val="10"/>
            <w:vAlign w:val="center"/>
          </w:tcPr>
          <w:p w14:paraId="2E527E4B">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意向承租方资格条件</w:t>
            </w:r>
          </w:p>
        </w:tc>
      </w:tr>
      <w:tr w14:paraId="7243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9579" w:type="dxa"/>
            <w:gridSpan w:val="10"/>
            <w:vAlign w:val="center"/>
          </w:tcPr>
          <w:p w14:paraId="03DB28B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1、意向承租方为依法注册且有效存续的法人或非法人组织的，应能承担相应的民事责任；</w:t>
            </w:r>
          </w:p>
          <w:p w14:paraId="767594D8">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2、意向承租方为自然人的，应当具有完全民事行为能力；</w:t>
            </w:r>
          </w:p>
          <w:p w14:paraId="0F701CE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3、经营资质真实有效，证照齐全；具有良好的商业信用，近3年未发生一定社会影响的经济纠纷；</w:t>
            </w:r>
          </w:p>
          <w:p w14:paraId="6986C4D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4、符合国家法律、行政法规规定的其他条件。</w:t>
            </w:r>
          </w:p>
        </w:tc>
      </w:tr>
      <w:tr w14:paraId="39FA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14:paraId="057D7DAE">
            <w:pPr>
              <w:spacing w:line="380" w:lineRule="exact"/>
              <w:ind w:firstLine="4200" w:firstLineChars="2000"/>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交易条件</w:t>
            </w:r>
          </w:p>
        </w:tc>
      </w:tr>
      <w:tr w14:paraId="207B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14:paraId="09B21C7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一、交易流程：</w:t>
            </w:r>
            <w:r>
              <w:rPr>
                <w:rFonts w:hint="eastAsia" w:ascii="微软雅黑" w:hAnsi="微软雅黑" w:eastAsia="微软雅黑" w:cs="微软雅黑"/>
                <w:color w:val="auto"/>
                <w:kern w:val="0"/>
                <w:szCs w:val="21"/>
              </w:rPr>
              <w:br w:type="textWrapping"/>
            </w:r>
            <w:r>
              <w:rPr>
                <w:rFonts w:hint="eastAsia" w:ascii="微软雅黑" w:hAnsi="微软雅黑" w:eastAsia="微软雅黑" w:cs="微软雅黑"/>
                <w:color w:val="auto"/>
                <w:kern w:val="0"/>
                <w:szCs w:val="21"/>
              </w:rPr>
              <w:t>1、符合资格的意向承租方须在本公告期间内按公告要求办理报名手续，并将标的资产对应的交易保证金汇入联合利国文交所指定账户。户名：联合利国文化产权交易所有限公司 账户：18046801040012152开户行：农业银行望城经开区支行，缴纳保证金的汇款人名称与意向受让方名称必须一致。如若不一致，需提交书面授权文件并签字盖章。报名和缴纳保证金应在项目公告期内完成，超过规定时间报名不予受理。</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、意向承租方（竞租人）在竞租标的资产时，应保证以不低于挂牌价报价。</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、本次出租标的采取</w:t>
            </w: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r>
              <w:rPr>
                <w:rFonts w:hint="eastAsia" w:ascii="微软雅黑" w:hAnsi="微软雅黑" w:eastAsia="微软雅黑" w:cs="微软雅黑"/>
                <w:color w:val="auto"/>
                <w:kern w:val="0"/>
                <w:szCs w:val="21"/>
              </w:rPr>
              <w:t>方式确定承租方，价高者得。</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、在竞价结束后</w:t>
            </w:r>
            <w:r>
              <w:rPr>
                <w:rFonts w:hint="eastAsia" w:ascii="微软雅黑" w:hAnsi="微软雅黑" w:eastAsia="微软雅黑" w:cs="微软雅黑"/>
                <w:color w:val="auto"/>
                <w:kern w:val="0"/>
                <w:szCs w:val="21"/>
                <w:lang w:val="en-US" w:eastAsia="zh-CN"/>
              </w:rPr>
              <w:t>10</w:t>
            </w:r>
            <w:r>
              <w:rPr>
                <w:rFonts w:hint="eastAsia" w:ascii="微软雅黑" w:hAnsi="微软雅黑" w:eastAsia="微软雅黑" w:cs="微软雅黑"/>
                <w:color w:val="auto"/>
                <w:kern w:val="0"/>
                <w:szCs w:val="21"/>
              </w:rPr>
              <w:t>个工作日内，出租方凭《国有资产交易事项通知书》与</w:t>
            </w:r>
            <w:r>
              <w:rPr>
                <w:rFonts w:hint="eastAsia" w:ascii="微软雅黑" w:hAnsi="微软雅黑" w:eastAsia="微软雅黑" w:cs="微软雅黑"/>
                <w:color w:val="auto"/>
                <w:kern w:val="0"/>
                <w:szCs w:val="21"/>
                <w:lang w:eastAsia="zh-CN"/>
              </w:rPr>
              <w:t>承租方</w:t>
            </w:r>
            <w:r>
              <w:rPr>
                <w:rFonts w:hint="eastAsia" w:ascii="微软雅黑" w:hAnsi="微软雅黑" w:eastAsia="微软雅黑" w:cs="微软雅黑"/>
                <w:color w:val="auto"/>
                <w:kern w:val="0"/>
                <w:szCs w:val="21"/>
              </w:rPr>
              <w:t>签订《租赁合同》。如承租方未在规定时间内签署前述文件，自竞价结束之日起逾期15个工作日的，出租方有权单方终止本次交易，重新挂牌，承租方交纳的交易保证金，扣除交易服务费后作为向出租方支付的违约金，不予退还。</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、承租方在签订《租赁合同》之日起</w:t>
            </w:r>
            <w:r>
              <w:rPr>
                <w:rFonts w:hint="eastAsia" w:ascii="微软雅黑" w:hAnsi="微软雅黑" w:eastAsia="微软雅黑" w:cs="微软雅黑"/>
                <w:color w:val="auto"/>
                <w:kern w:val="0"/>
                <w:szCs w:val="21"/>
                <w:lang w:val="en-US" w:eastAsia="zh-CN"/>
              </w:rPr>
              <w:t>7</w:t>
            </w:r>
            <w:r>
              <w:rPr>
                <w:rFonts w:hint="eastAsia" w:ascii="微软雅黑" w:hAnsi="微软雅黑" w:eastAsia="微软雅黑" w:cs="微软雅黑"/>
                <w:color w:val="auto"/>
                <w:kern w:val="0"/>
                <w:szCs w:val="21"/>
              </w:rPr>
              <w:t>个工作日内将首笔租金连同承租押金一次性汇入联合利国文交所指定交易结算账户，之后按租赁合同约定支付租金。</w:t>
            </w:r>
          </w:p>
          <w:p w14:paraId="7B55F6DB">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二、承租规定：</w:t>
            </w:r>
          </w:p>
          <w:p w14:paraId="05E004BD">
            <w:pPr>
              <w:spacing w:line="380" w:lineRule="exact"/>
              <w:textAlignment w:val="baseline"/>
              <w:rPr>
                <w:rFonts w:hint="default" w:ascii="微软雅黑" w:hAnsi="微软雅黑" w:eastAsia="微软雅黑" w:cs="微软雅黑"/>
                <w:color w:val="auto"/>
                <w:kern w:val="0"/>
                <w:szCs w:val="21"/>
                <w:lang w:val="en-US"/>
              </w:rPr>
            </w:pPr>
            <w:r>
              <w:rPr>
                <w:rFonts w:hint="eastAsia" w:ascii="微软雅黑" w:hAnsi="微软雅黑" w:eastAsia="微软雅黑" w:cs="微软雅黑"/>
                <w:color w:val="auto"/>
                <w:kern w:val="0"/>
                <w:szCs w:val="21"/>
              </w:rPr>
              <w:t>1、支付要求：本次出租</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按年度一次性支付（即年度预付）。</w:t>
            </w:r>
          </w:p>
          <w:p w14:paraId="5F35DD6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出租方按公告要求在收到第一笔租金及履约保证金后5个工作日内与承租方办理资产交付手续。</w:t>
            </w:r>
          </w:p>
          <w:p w14:paraId="6407E88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费用的负担: 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14:paraId="42BBD66D">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、承租方可根据需要对房屋进行装修，但严禁擅自改动房屋结构;租约期满或者提前解约后，按来装去丢的原则无偿移交出租方。</w:t>
            </w:r>
          </w:p>
          <w:p w14:paraId="454470C0">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 xml:space="preserve">、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 </w:t>
            </w:r>
          </w:p>
          <w:p w14:paraId="60926F76">
            <w:pPr>
              <w:spacing w:line="380" w:lineRule="exact"/>
              <w:textAlignment w:val="baseline"/>
              <w:rPr>
                <w:rFonts w:hint="eastAsia" w:ascii="微软雅黑" w:hAnsi="微软雅黑" w:eastAsia="微软雅黑" w:cs="微软雅黑"/>
                <w:color w:val="auto"/>
                <w:kern w:val="0"/>
                <w:szCs w:val="21"/>
              </w:rPr>
            </w:pP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转租的要求: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4BEA7A87">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、承租相关其它条件以出租方、承租方最终签订的租赁合同为准，但公告中公示的内容作为租赁合同的组成部分，租赁合同内容不得与公告内容相违背。</w:t>
            </w:r>
          </w:p>
          <w:p w14:paraId="6CD50C9E">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6</w:t>
            </w:r>
            <w:r>
              <w:rPr>
                <w:rFonts w:hint="eastAsia" w:ascii="微软雅黑" w:hAnsi="微软雅黑" w:eastAsia="微软雅黑" w:cs="微软雅黑"/>
                <w:color w:val="auto"/>
                <w:kern w:val="0"/>
                <w:szCs w:val="21"/>
              </w:rPr>
              <w:t>、标的以现状进行出租，成交后，以实际出租面积为准;若有变化，成交租金及交易服务费不作调整。</w:t>
            </w:r>
          </w:p>
        </w:tc>
      </w:tr>
      <w:tr w14:paraId="3FD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14:paraId="377ABBC7">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交易方式</w:t>
            </w:r>
          </w:p>
        </w:tc>
      </w:tr>
      <w:tr w14:paraId="1F2F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9579" w:type="dxa"/>
            <w:gridSpan w:val="10"/>
            <w:vAlign w:val="center"/>
          </w:tcPr>
          <w:p w14:paraId="12CFAE13">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p>
        </w:tc>
      </w:tr>
      <w:tr w14:paraId="308F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14:paraId="5ADDCA93">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交易保证金及履约保证金</w:t>
            </w:r>
          </w:p>
        </w:tc>
      </w:tr>
      <w:tr w14:paraId="623E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14:paraId="3A48AD1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保证金金额</w:t>
            </w:r>
          </w:p>
        </w:tc>
        <w:tc>
          <w:tcPr>
            <w:tcW w:w="7956" w:type="dxa"/>
            <w:gridSpan w:val="8"/>
          </w:tcPr>
          <w:p w14:paraId="1709B1C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年租金的10%,</w:t>
            </w:r>
            <w:r>
              <w:rPr>
                <w:rFonts w:hint="eastAsia" w:ascii="微软雅黑" w:hAnsi="微软雅黑" w:eastAsia="微软雅黑" w:cs="微软雅黑"/>
                <w:color w:val="auto"/>
                <w:kern w:val="0"/>
                <w:szCs w:val="21"/>
                <w:u w:val="single"/>
                <w:lang w:eastAsia="zh-CN"/>
              </w:rPr>
              <w:t>即</w:t>
            </w:r>
            <w:r>
              <w:rPr>
                <w:rFonts w:hint="eastAsia" w:ascii="微软雅黑" w:hAnsi="微软雅黑" w:eastAsia="微软雅黑" w:cs="微软雅黑"/>
                <w:color w:val="auto"/>
                <w:kern w:val="0"/>
                <w:szCs w:val="21"/>
                <w:u w:val="single"/>
                <w:lang w:val="en-US" w:eastAsia="zh-CN"/>
              </w:rPr>
              <w:t xml:space="preserve">  4.12 元。</w:t>
            </w:r>
            <w:r>
              <w:rPr>
                <w:rFonts w:hint="eastAsia" w:ascii="微软雅黑" w:hAnsi="微软雅黑" w:eastAsia="微软雅黑" w:cs="微软雅黑"/>
                <w:color w:val="auto"/>
                <w:kern w:val="0"/>
                <w:szCs w:val="21"/>
              </w:rPr>
              <w:t>年租金按一年365天计算。</w:t>
            </w:r>
          </w:p>
        </w:tc>
      </w:tr>
      <w:tr w14:paraId="5612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14:paraId="1C0DA4A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交纳时间</w:t>
            </w:r>
          </w:p>
        </w:tc>
        <w:tc>
          <w:tcPr>
            <w:tcW w:w="7956" w:type="dxa"/>
            <w:gridSpan w:val="8"/>
            <w:vAlign w:val="center"/>
          </w:tcPr>
          <w:p w14:paraId="028A386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意向承租方在信息发布截止日17：00前交纳保证金（以到达指定账户时间为准）</w:t>
            </w:r>
          </w:p>
        </w:tc>
      </w:tr>
      <w:tr w14:paraId="6F75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14:paraId="4E405FD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处置方式</w:t>
            </w:r>
          </w:p>
        </w:tc>
        <w:tc>
          <w:tcPr>
            <w:tcW w:w="7956" w:type="dxa"/>
            <w:gridSpan w:val="8"/>
            <w:vAlign w:val="center"/>
          </w:tcPr>
          <w:p w14:paraId="4B7712F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如成为最终承租方：保证金扣除交易服务费后自动转为应缴纳租金的一部分。</w:t>
            </w:r>
          </w:p>
          <w:p w14:paraId="598F202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如未成为最终承租方：其交纳的保证金原路无息退回。</w:t>
            </w:r>
          </w:p>
        </w:tc>
      </w:tr>
      <w:tr w14:paraId="4080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23" w:type="dxa"/>
            <w:gridSpan w:val="2"/>
            <w:vAlign w:val="center"/>
          </w:tcPr>
          <w:p w14:paraId="61D0E37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履约保证金</w:t>
            </w:r>
          </w:p>
        </w:tc>
        <w:tc>
          <w:tcPr>
            <w:tcW w:w="7956" w:type="dxa"/>
            <w:gridSpan w:val="8"/>
          </w:tcPr>
          <w:p w14:paraId="4A5A546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设定为不低于2个月承租金 具体以合同签订金额为准，承租期满无违约行为、资产无损坏全额无息退还</w:t>
            </w: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原租户履约保证金按原合同条款执行。</w:t>
            </w:r>
            <w:bookmarkStart w:id="2" w:name="_GoBack"/>
            <w:bookmarkEnd w:id="2"/>
          </w:p>
        </w:tc>
      </w:tr>
      <w:tr w14:paraId="3C83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9" w:type="dxa"/>
            <w:gridSpan w:val="10"/>
            <w:vAlign w:val="center"/>
          </w:tcPr>
          <w:p w14:paraId="62B6AE2B">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重大事项及其它披露事项</w:t>
            </w:r>
          </w:p>
        </w:tc>
      </w:tr>
      <w:tr w14:paraId="0990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579" w:type="dxa"/>
            <w:gridSpan w:val="10"/>
            <w:vAlign w:val="center"/>
          </w:tcPr>
          <w:p w14:paraId="2E35A8C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请填写资产是否存在权属瑕疵或担保责任、是否抵押冻结、是否存在优先购买权人等情形，若均无则填写“无”。</w:t>
            </w:r>
          </w:p>
        </w:tc>
      </w:tr>
      <w:tr w14:paraId="181E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14:paraId="62335BFD">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出租方委托及承诺事项</w:t>
            </w:r>
          </w:p>
        </w:tc>
      </w:tr>
      <w:tr w14:paraId="030A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14:paraId="52F6D2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本单位将上述标的委托联合利国文化产权交易所公开挂牌出租，并承诺如下：</w:t>
            </w:r>
          </w:p>
          <w:p w14:paraId="3CDEB00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1、我方对该资产拥有完全的处置权，无任何限制和纠纷。 </w:t>
            </w:r>
          </w:p>
          <w:p w14:paraId="7826799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2、我方出租资产的相关行为已履行相应程序，经过有效的决策，并获得相应批准；</w:t>
            </w:r>
          </w:p>
          <w:p w14:paraId="5B505CF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3、我方向贵所提交的本《资产出租挂牌申请表》及附件资料内容真实、完整、合法、有效，不存在虚假记载、误导性陈述或重大遗漏；</w:t>
            </w:r>
          </w:p>
          <w:p w14:paraId="64C4350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4、我方在出租资产过程中，同意遵守相关法律法规和联合利国文化产权交易所交易规则及相关细则，按照有关要求履行我方义务；</w:t>
            </w:r>
          </w:p>
          <w:p w14:paraId="47476F7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5、如在项目进行中出现纠纷，同意依据联合利国文化产权交易所相关规定，接受联合利国文化产权交易所作出的中止或终结项目的决定。</w:t>
            </w:r>
          </w:p>
          <w:p w14:paraId="10C4341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如我方违反上述承诺，愿意承担全部法律和经济责任。</w:t>
            </w:r>
          </w:p>
          <w:p w14:paraId="47973FD8">
            <w:pPr>
              <w:spacing w:line="380" w:lineRule="exact"/>
              <w:textAlignment w:val="baseline"/>
              <w:rPr>
                <w:rFonts w:ascii="微软雅黑" w:hAnsi="微软雅黑" w:eastAsia="微软雅黑" w:cs="微软雅黑"/>
                <w:color w:val="auto"/>
                <w:kern w:val="0"/>
                <w:szCs w:val="21"/>
              </w:rPr>
            </w:pPr>
          </w:p>
          <w:p w14:paraId="4296DD5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出租方（盖章）：</w:t>
            </w:r>
          </w:p>
          <w:p w14:paraId="516F102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14:paraId="3669D52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法人代表/负责人（签字）：</w:t>
            </w:r>
          </w:p>
          <w:p w14:paraId="46E0D28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14:paraId="7664488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申请日期：   年   月   日</w:t>
            </w:r>
          </w:p>
        </w:tc>
      </w:tr>
      <w:bookmarkEnd w:id="0"/>
      <w:bookmarkEnd w:id="1"/>
    </w:tbl>
    <w:p w14:paraId="4D98E6A3">
      <w:pPr>
        <w:adjustRightInd w:val="0"/>
        <w:snapToGrid w:val="0"/>
        <w:spacing w:before="120" w:after="120" w:line="360" w:lineRule="auto"/>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decorative"/>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1" w:fontKey="{09F502F2-88BD-4CC8-A665-F08C2E46D159}"/>
  </w:font>
  <w:font w:name="微软雅黑">
    <w:panose1 w:val="020B0503020204020204"/>
    <w:charset w:val="86"/>
    <w:family w:val="swiss"/>
    <w:pitch w:val="default"/>
    <w:sig w:usb0="80000287" w:usb1="2ACF3C50" w:usb2="00000016" w:usb3="00000000" w:csb0="0004001F" w:csb1="00000000"/>
    <w:embedRegular r:id="rId2" w:fontKey="{40F26E8E-10D7-4D1D-80E2-4D658A38E51E}"/>
  </w:font>
  <w:font w:name="Wingdings 2">
    <w:panose1 w:val="05020102010507070707"/>
    <w:charset w:val="02"/>
    <w:family w:val="roman"/>
    <w:pitch w:val="default"/>
    <w:sig w:usb0="00000000" w:usb1="00000000" w:usb2="00000000" w:usb3="00000000" w:csb0="80000000" w:csb1="00000000"/>
    <w:embedRegular r:id="rId3" w:fontKey="{DB083D04-E46E-4C4B-9971-3414AF580FE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0"/>
    <w:family w:val="auto"/>
    <w:pitch w:val="default"/>
    <w:sig w:usb0="00000000" w:usb1="00000000" w:usb2="00000000" w:usb3="00000000" w:csb0="80000000" w:csb1="00000000"/>
    <w:embedRegular r:id="rId4" w:fontKey="{05B15BE4-1D9E-4E3F-AD85-E9D0290262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14:paraId="5F29F71F">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14:paraId="38E8557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6810C">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1A51167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hZmEwZjhlYzEwOWNmYjUxYTcwNjZhMjBlMTEzYzYifQ=="/>
  </w:docVars>
  <w:rsids>
    <w:rsidRoot w:val="00790464"/>
    <w:rsid w:val="000010B8"/>
    <w:rsid w:val="00014610"/>
    <w:rsid w:val="00023111"/>
    <w:rsid w:val="00024422"/>
    <w:rsid w:val="00031A45"/>
    <w:rsid w:val="00043E0F"/>
    <w:rsid w:val="00046C02"/>
    <w:rsid w:val="00086C01"/>
    <w:rsid w:val="0009150D"/>
    <w:rsid w:val="00093B8C"/>
    <w:rsid w:val="000A0108"/>
    <w:rsid w:val="000A6474"/>
    <w:rsid w:val="000A6B7A"/>
    <w:rsid w:val="000B0973"/>
    <w:rsid w:val="000D5456"/>
    <w:rsid w:val="000E2A70"/>
    <w:rsid w:val="000F3755"/>
    <w:rsid w:val="00104952"/>
    <w:rsid w:val="001069E7"/>
    <w:rsid w:val="0011443E"/>
    <w:rsid w:val="00120BED"/>
    <w:rsid w:val="00141137"/>
    <w:rsid w:val="00145BA5"/>
    <w:rsid w:val="00146F89"/>
    <w:rsid w:val="00147AA1"/>
    <w:rsid w:val="00153A57"/>
    <w:rsid w:val="0015788A"/>
    <w:rsid w:val="00163810"/>
    <w:rsid w:val="00166CBF"/>
    <w:rsid w:val="0018330E"/>
    <w:rsid w:val="00191CEA"/>
    <w:rsid w:val="001A2240"/>
    <w:rsid w:val="001A302E"/>
    <w:rsid w:val="001B00FC"/>
    <w:rsid w:val="001B2006"/>
    <w:rsid w:val="001C4D35"/>
    <w:rsid w:val="001E1F8E"/>
    <w:rsid w:val="00200956"/>
    <w:rsid w:val="00207904"/>
    <w:rsid w:val="00227AE2"/>
    <w:rsid w:val="00247445"/>
    <w:rsid w:val="0026075E"/>
    <w:rsid w:val="002613DC"/>
    <w:rsid w:val="002720DF"/>
    <w:rsid w:val="00281F6D"/>
    <w:rsid w:val="0028283F"/>
    <w:rsid w:val="002B1695"/>
    <w:rsid w:val="002C18B5"/>
    <w:rsid w:val="002D3AE0"/>
    <w:rsid w:val="002F10F6"/>
    <w:rsid w:val="003016BF"/>
    <w:rsid w:val="00316456"/>
    <w:rsid w:val="0033218D"/>
    <w:rsid w:val="00343EBE"/>
    <w:rsid w:val="00352B8E"/>
    <w:rsid w:val="00357A8A"/>
    <w:rsid w:val="0036786E"/>
    <w:rsid w:val="00371A68"/>
    <w:rsid w:val="003A26B1"/>
    <w:rsid w:val="003A6756"/>
    <w:rsid w:val="003F1740"/>
    <w:rsid w:val="003F5DFB"/>
    <w:rsid w:val="00403177"/>
    <w:rsid w:val="004141EE"/>
    <w:rsid w:val="00425B74"/>
    <w:rsid w:val="0044179E"/>
    <w:rsid w:val="00452BD8"/>
    <w:rsid w:val="00460019"/>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9184A"/>
    <w:rsid w:val="005A0B30"/>
    <w:rsid w:val="005B04FC"/>
    <w:rsid w:val="005B6816"/>
    <w:rsid w:val="005C3B0D"/>
    <w:rsid w:val="005C4C48"/>
    <w:rsid w:val="005D1D4A"/>
    <w:rsid w:val="005E07E8"/>
    <w:rsid w:val="006110EA"/>
    <w:rsid w:val="00614C7D"/>
    <w:rsid w:val="00621CBA"/>
    <w:rsid w:val="006239DF"/>
    <w:rsid w:val="00624B01"/>
    <w:rsid w:val="00642AD3"/>
    <w:rsid w:val="00652264"/>
    <w:rsid w:val="00656EAF"/>
    <w:rsid w:val="006655EC"/>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57543"/>
    <w:rsid w:val="008608A9"/>
    <w:rsid w:val="00862659"/>
    <w:rsid w:val="0087563D"/>
    <w:rsid w:val="0088298F"/>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19B8"/>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16488"/>
    <w:rsid w:val="00C214DC"/>
    <w:rsid w:val="00C32D83"/>
    <w:rsid w:val="00C42196"/>
    <w:rsid w:val="00C464D9"/>
    <w:rsid w:val="00C6064E"/>
    <w:rsid w:val="00C668D4"/>
    <w:rsid w:val="00C67742"/>
    <w:rsid w:val="00C7283B"/>
    <w:rsid w:val="00C8770C"/>
    <w:rsid w:val="00C91253"/>
    <w:rsid w:val="00C94CA9"/>
    <w:rsid w:val="00CA481A"/>
    <w:rsid w:val="00CB11C8"/>
    <w:rsid w:val="00CB5178"/>
    <w:rsid w:val="00CE0D75"/>
    <w:rsid w:val="00CF1CBB"/>
    <w:rsid w:val="00CF6DE8"/>
    <w:rsid w:val="00D12AEC"/>
    <w:rsid w:val="00D20BF1"/>
    <w:rsid w:val="00D21E3F"/>
    <w:rsid w:val="00D25820"/>
    <w:rsid w:val="00D30D4C"/>
    <w:rsid w:val="00D333EE"/>
    <w:rsid w:val="00D338EA"/>
    <w:rsid w:val="00D508D4"/>
    <w:rsid w:val="00D84222"/>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26E5F"/>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D3638E"/>
    <w:rsid w:val="0342672B"/>
    <w:rsid w:val="0354043F"/>
    <w:rsid w:val="03541CED"/>
    <w:rsid w:val="039B36D7"/>
    <w:rsid w:val="03E414F7"/>
    <w:rsid w:val="041D34B1"/>
    <w:rsid w:val="043639AB"/>
    <w:rsid w:val="04420529"/>
    <w:rsid w:val="058D2149"/>
    <w:rsid w:val="061056DB"/>
    <w:rsid w:val="064D66A8"/>
    <w:rsid w:val="06C91B51"/>
    <w:rsid w:val="071C27DF"/>
    <w:rsid w:val="07390819"/>
    <w:rsid w:val="074200EB"/>
    <w:rsid w:val="076C3E7F"/>
    <w:rsid w:val="0793466C"/>
    <w:rsid w:val="07AC2DDA"/>
    <w:rsid w:val="07E72587"/>
    <w:rsid w:val="081640C8"/>
    <w:rsid w:val="08767876"/>
    <w:rsid w:val="08953EF3"/>
    <w:rsid w:val="08A26D49"/>
    <w:rsid w:val="08A8383F"/>
    <w:rsid w:val="08D91873"/>
    <w:rsid w:val="08DC3C98"/>
    <w:rsid w:val="08F2619E"/>
    <w:rsid w:val="08FD2829"/>
    <w:rsid w:val="094C3229"/>
    <w:rsid w:val="0960334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7373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E50E62"/>
    <w:rsid w:val="11583E25"/>
    <w:rsid w:val="11AA3A65"/>
    <w:rsid w:val="11DD564B"/>
    <w:rsid w:val="121C19E4"/>
    <w:rsid w:val="12660006"/>
    <w:rsid w:val="129B0BEB"/>
    <w:rsid w:val="130E7E32"/>
    <w:rsid w:val="13214092"/>
    <w:rsid w:val="135B41D8"/>
    <w:rsid w:val="136A5781"/>
    <w:rsid w:val="13840522"/>
    <w:rsid w:val="13DA0586"/>
    <w:rsid w:val="13DF1AF7"/>
    <w:rsid w:val="13E908D0"/>
    <w:rsid w:val="13E9600F"/>
    <w:rsid w:val="140D648E"/>
    <w:rsid w:val="14561ECD"/>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9EF056A"/>
    <w:rsid w:val="1A754CBE"/>
    <w:rsid w:val="1B242F44"/>
    <w:rsid w:val="1B762D07"/>
    <w:rsid w:val="1BAA67A2"/>
    <w:rsid w:val="1BB6752B"/>
    <w:rsid w:val="1C302A04"/>
    <w:rsid w:val="1C38507B"/>
    <w:rsid w:val="1C444661"/>
    <w:rsid w:val="1C4B69F4"/>
    <w:rsid w:val="1C9D4D14"/>
    <w:rsid w:val="1CFD502E"/>
    <w:rsid w:val="1DAF3467"/>
    <w:rsid w:val="1DBE0167"/>
    <w:rsid w:val="1DC15DE5"/>
    <w:rsid w:val="1DF347E8"/>
    <w:rsid w:val="1E1C3549"/>
    <w:rsid w:val="1E4E5992"/>
    <w:rsid w:val="1EAA5DD0"/>
    <w:rsid w:val="1ED1758D"/>
    <w:rsid w:val="1EE76746"/>
    <w:rsid w:val="1F3B7BAA"/>
    <w:rsid w:val="1F663458"/>
    <w:rsid w:val="1FA75752"/>
    <w:rsid w:val="1FC35AFC"/>
    <w:rsid w:val="1FE85E0B"/>
    <w:rsid w:val="202C2643"/>
    <w:rsid w:val="202D7D92"/>
    <w:rsid w:val="204272B6"/>
    <w:rsid w:val="208313DE"/>
    <w:rsid w:val="209D56BC"/>
    <w:rsid w:val="20A87175"/>
    <w:rsid w:val="21157B9B"/>
    <w:rsid w:val="21BA0857"/>
    <w:rsid w:val="21F363AE"/>
    <w:rsid w:val="2261222E"/>
    <w:rsid w:val="23005466"/>
    <w:rsid w:val="23152115"/>
    <w:rsid w:val="23187D85"/>
    <w:rsid w:val="231958A5"/>
    <w:rsid w:val="233676E6"/>
    <w:rsid w:val="23594597"/>
    <w:rsid w:val="236673EF"/>
    <w:rsid w:val="237B789E"/>
    <w:rsid w:val="23CA5B2A"/>
    <w:rsid w:val="23D864D1"/>
    <w:rsid w:val="23E52FF0"/>
    <w:rsid w:val="23EB3239"/>
    <w:rsid w:val="24644F69"/>
    <w:rsid w:val="25366BA0"/>
    <w:rsid w:val="2575559D"/>
    <w:rsid w:val="25A063E6"/>
    <w:rsid w:val="25B012B2"/>
    <w:rsid w:val="26166FE7"/>
    <w:rsid w:val="263A5781"/>
    <w:rsid w:val="266E1A48"/>
    <w:rsid w:val="26C06765"/>
    <w:rsid w:val="26C77BAF"/>
    <w:rsid w:val="26D67325"/>
    <w:rsid w:val="26F06AAA"/>
    <w:rsid w:val="26FE4A9E"/>
    <w:rsid w:val="270F7146"/>
    <w:rsid w:val="272F7241"/>
    <w:rsid w:val="273529E4"/>
    <w:rsid w:val="27980CAE"/>
    <w:rsid w:val="27C23FF4"/>
    <w:rsid w:val="27E547AF"/>
    <w:rsid w:val="27E9034B"/>
    <w:rsid w:val="27F711FE"/>
    <w:rsid w:val="280A36C2"/>
    <w:rsid w:val="280F02BF"/>
    <w:rsid w:val="28230973"/>
    <w:rsid w:val="285D3006"/>
    <w:rsid w:val="288243D2"/>
    <w:rsid w:val="28832A69"/>
    <w:rsid w:val="289202C7"/>
    <w:rsid w:val="28C70EAE"/>
    <w:rsid w:val="28E077FF"/>
    <w:rsid w:val="29096866"/>
    <w:rsid w:val="29696031"/>
    <w:rsid w:val="297837E2"/>
    <w:rsid w:val="29907BC4"/>
    <w:rsid w:val="2A0D4C68"/>
    <w:rsid w:val="2A106B77"/>
    <w:rsid w:val="2A256738"/>
    <w:rsid w:val="2A4B40C5"/>
    <w:rsid w:val="2A825147"/>
    <w:rsid w:val="2A85391B"/>
    <w:rsid w:val="2ADA5F7A"/>
    <w:rsid w:val="2B031B05"/>
    <w:rsid w:val="2B0A0D5F"/>
    <w:rsid w:val="2B2B5BB6"/>
    <w:rsid w:val="2B53636C"/>
    <w:rsid w:val="2B6275CF"/>
    <w:rsid w:val="2B793DBD"/>
    <w:rsid w:val="2BD07767"/>
    <w:rsid w:val="2C027745"/>
    <w:rsid w:val="2C146B8E"/>
    <w:rsid w:val="2C54538A"/>
    <w:rsid w:val="2C7008F9"/>
    <w:rsid w:val="2C7A48BD"/>
    <w:rsid w:val="2C8C0A79"/>
    <w:rsid w:val="2C943CFE"/>
    <w:rsid w:val="2C984885"/>
    <w:rsid w:val="2CA155B1"/>
    <w:rsid w:val="2CBB20EA"/>
    <w:rsid w:val="2D966D63"/>
    <w:rsid w:val="2DA0709C"/>
    <w:rsid w:val="2DBB60AF"/>
    <w:rsid w:val="2DC351CA"/>
    <w:rsid w:val="2DFE3D49"/>
    <w:rsid w:val="2E1F4CB8"/>
    <w:rsid w:val="2E207222"/>
    <w:rsid w:val="2EF87B5B"/>
    <w:rsid w:val="2F73404D"/>
    <w:rsid w:val="2FA320B8"/>
    <w:rsid w:val="2FAC223A"/>
    <w:rsid w:val="2FC85808"/>
    <w:rsid w:val="2FD42A76"/>
    <w:rsid w:val="306A20E4"/>
    <w:rsid w:val="3076725A"/>
    <w:rsid w:val="30820F19"/>
    <w:rsid w:val="3101078C"/>
    <w:rsid w:val="31235747"/>
    <w:rsid w:val="31242D2F"/>
    <w:rsid w:val="31B97799"/>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D323C3"/>
    <w:rsid w:val="3B103087"/>
    <w:rsid w:val="3BDE5077"/>
    <w:rsid w:val="3C002732"/>
    <w:rsid w:val="3C6E13C1"/>
    <w:rsid w:val="3CAC1C64"/>
    <w:rsid w:val="3CCE207A"/>
    <w:rsid w:val="3CF53309"/>
    <w:rsid w:val="3D5273E6"/>
    <w:rsid w:val="3D5D38F4"/>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12538"/>
    <w:rsid w:val="41C44F49"/>
    <w:rsid w:val="41E25A13"/>
    <w:rsid w:val="41F0585F"/>
    <w:rsid w:val="41F17CD6"/>
    <w:rsid w:val="42021D76"/>
    <w:rsid w:val="43AF534C"/>
    <w:rsid w:val="443B7603"/>
    <w:rsid w:val="44A16256"/>
    <w:rsid w:val="44F24C01"/>
    <w:rsid w:val="45A75091"/>
    <w:rsid w:val="45FA2EAE"/>
    <w:rsid w:val="45FB7BBE"/>
    <w:rsid w:val="46321365"/>
    <w:rsid w:val="46990AB6"/>
    <w:rsid w:val="46BE61EE"/>
    <w:rsid w:val="46F45A28"/>
    <w:rsid w:val="471F3AAA"/>
    <w:rsid w:val="475A118E"/>
    <w:rsid w:val="47755418"/>
    <w:rsid w:val="479B3C1B"/>
    <w:rsid w:val="47AC700E"/>
    <w:rsid w:val="47B62D28"/>
    <w:rsid w:val="48495E6C"/>
    <w:rsid w:val="485135F6"/>
    <w:rsid w:val="48695351"/>
    <w:rsid w:val="48DF318F"/>
    <w:rsid w:val="48ED214D"/>
    <w:rsid w:val="49B66CBA"/>
    <w:rsid w:val="49D92F2B"/>
    <w:rsid w:val="4A780A6F"/>
    <w:rsid w:val="4A7F5140"/>
    <w:rsid w:val="4A942DCC"/>
    <w:rsid w:val="4ADF082A"/>
    <w:rsid w:val="4B49162A"/>
    <w:rsid w:val="4BEF7935"/>
    <w:rsid w:val="4C283123"/>
    <w:rsid w:val="4C6F2B54"/>
    <w:rsid w:val="4C730531"/>
    <w:rsid w:val="4CDF7C5E"/>
    <w:rsid w:val="4D081583"/>
    <w:rsid w:val="4D99642E"/>
    <w:rsid w:val="4DB447C8"/>
    <w:rsid w:val="4DCD15DC"/>
    <w:rsid w:val="4E177F5A"/>
    <w:rsid w:val="4E58728D"/>
    <w:rsid w:val="4E70374E"/>
    <w:rsid w:val="4E7B1437"/>
    <w:rsid w:val="4E9033A1"/>
    <w:rsid w:val="4F1E1EA3"/>
    <w:rsid w:val="4F3229E3"/>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9035382"/>
    <w:rsid w:val="598612C2"/>
    <w:rsid w:val="59AB3409"/>
    <w:rsid w:val="5A0E0980"/>
    <w:rsid w:val="5A5C0DF7"/>
    <w:rsid w:val="5AAC3E65"/>
    <w:rsid w:val="5AB26144"/>
    <w:rsid w:val="5AC030CF"/>
    <w:rsid w:val="5B103419"/>
    <w:rsid w:val="5B236C80"/>
    <w:rsid w:val="5B3D1E12"/>
    <w:rsid w:val="5B7D1C80"/>
    <w:rsid w:val="5BA00201"/>
    <w:rsid w:val="5C64497C"/>
    <w:rsid w:val="5C802D8A"/>
    <w:rsid w:val="5CB85642"/>
    <w:rsid w:val="5CD549BD"/>
    <w:rsid w:val="5CE367C3"/>
    <w:rsid w:val="5D097C0E"/>
    <w:rsid w:val="5D587D6F"/>
    <w:rsid w:val="5D67264C"/>
    <w:rsid w:val="5D921888"/>
    <w:rsid w:val="5E5D2C68"/>
    <w:rsid w:val="5EA721B2"/>
    <w:rsid w:val="5EBF6555"/>
    <w:rsid w:val="5F11071A"/>
    <w:rsid w:val="5F192645"/>
    <w:rsid w:val="5F9E0A15"/>
    <w:rsid w:val="5FAC0675"/>
    <w:rsid w:val="6048101F"/>
    <w:rsid w:val="605B2CDE"/>
    <w:rsid w:val="609258C7"/>
    <w:rsid w:val="60AF4C69"/>
    <w:rsid w:val="60E363EC"/>
    <w:rsid w:val="610A15BD"/>
    <w:rsid w:val="616216BB"/>
    <w:rsid w:val="61EA1817"/>
    <w:rsid w:val="62200A5F"/>
    <w:rsid w:val="62822AF3"/>
    <w:rsid w:val="628F4149"/>
    <w:rsid w:val="62940529"/>
    <w:rsid w:val="63021BC0"/>
    <w:rsid w:val="63157C79"/>
    <w:rsid w:val="63564D46"/>
    <w:rsid w:val="639F33D3"/>
    <w:rsid w:val="64414A5D"/>
    <w:rsid w:val="64663390"/>
    <w:rsid w:val="647B44CB"/>
    <w:rsid w:val="64885008"/>
    <w:rsid w:val="648F77C3"/>
    <w:rsid w:val="649A6951"/>
    <w:rsid w:val="64A04A82"/>
    <w:rsid w:val="64DB3ACF"/>
    <w:rsid w:val="6505143C"/>
    <w:rsid w:val="650A38BC"/>
    <w:rsid w:val="651F1292"/>
    <w:rsid w:val="65266429"/>
    <w:rsid w:val="65A868A6"/>
    <w:rsid w:val="65AA2420"/>
    <w:rsid w:val="65CE6989"/>
    <w:rsid w:val="660E4690"/>
    <w:rsid w:val="66670356"/>
    <w:rsid w:val="666D1C5B"/>
    <w:rsid w:val="667062CE"/>
    <w:rsid w:val="67135635"/>
    <w:rsid w:val="67394079"/>
    <w:rsid w:val="673D1349"/>
    <w:rsid w:val="674063B3"/>
    <w:rsid w:val="675947CD"/>
    <w:rsid w:val="67F635CE"/>
    <w:rsid w:val="68290467"/>
    <w:rsid w:val="68541290"/>
    <w:rsid w:val="686C79FD"/>
    <w:rsid w:val="68B70F96"/>
    <w:rsid w:val="69246C5B"/>
    <w:rsid w:val="69310A84"/>
    <w:rsid w:val="69E4173C"/>
    <w:rsid w:val="6A082616"/>
    <w:rsid w:val="6A4B22C7"/>
    <w:rsid w:val="6A531AFC"/>
    <w:rsid w:val="6AA94DAB"/>
    <w:rsid w:val="6AF75429"/>
    <w:rsid w:val="6AFC7388"/>
    <w:rsid w:val="6B880326"/>
    <w:rsid w:val="6BA859CE"/>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EFC4430"/>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2042C01"/>
    <w:rsid w:val="72334302"/>
    <w:rsid w:val="723949C4"/>
    <w:rsid w:val="723A4246"/>
    <w:rsid w:val="728A4582"/>
    <w:rsid w:val="72C2652A"/>
    <w:rsid w:val="73032956"/>
    <w:rsid w:val="733D5F8B"/>
    <w:rsid w:val="73E921A8"/>
    <w:rsid w:val="741075B3"/>
    <w:rsid w:val="74787477"/>
    <w:rsid w:val="74AD0DD8"/>
    <w:rsid w:val="74B013A4"/>
    <w:rsid w:val="74F87CA0"/>
    <w:rsid w:val="753F5BEB"/>
    <w:rsid w:val="756C1B95"/>
    <w:rsid w:val="75705AAF"/>
    <w:rsid w:val="75B271F3"/>
    <w:rsid w:val="75B93772"/>
    <w:rsid w:val="75F74A34"/>
    <w:rsid w:val="764879E2"/>
    <w:rsid w:val="76BF2D5B"/>
    <w:rsid w:val="770E0341"/>
    <w:rsid w:val="77332061"/>
    <w:rsid w:val="77514B17"/>
    <w:rsid w:val="778D14C9"/>
    <w:rsid w:val="77E506D7"/>
    <w:rsid w:val="77F11026"/>
    <w:rsid w:val="78081390"/>
    <w:rsid w:val="78124A47"/>
    <w:rsid w:val="781813D7"/>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B52E5A"/>
    <w:rsid w:val="7AC97E3E"/>
    <w:rsid w:val="7B054783"/>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6"/>
    <w:autoRedefine/>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autoRedefine/>
    <w:unhideWhenUsed/>
    <w:qFormat/>
    <w:uiPriority w:val="99"/>
    <w:rPr>
      <w:sz w:val="18"/>
      <w:szCs w:val="18"/>
    </w:rPr>
  </w:style>
  <w:style w:type="paragraph" w:styleId="4">
    <w:name w:val="footer"/>
    <w:basedOn w:val="1"/>
    <w:link w:val="12"/>
    <w:autoRedefine/>
    <w:qFormat/>
    <w:uiPriority w:val="99"/>
    <w:pPr>
      <w:tabs>
        <w:tab w:val="center" w:pos="4153"/>
        <w:tab w:val="right" w:pos="8306"/>
      </w:tabs>
      <w:snapToGrid w:val="0"/>
      <w:jc w:val="left"/>
    </w:pPr>
    <w:rPr>
      <w:sz w:val="18"/>
      <w:szCs w:val="18"/>
    </w:rPr>
  </w:style>
  <w:style w:type="paragraph" w:styleId="5">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autoRedefine/>
    <w:qFormat/>
    <w:uiPriority w:val="0"/>
  </w:style>
  <w:style w:type="character" w:styleId="11">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2">
    <w:name w:val="页脚 字符"/>
    <w:basedOn w:val="9"/>
    <w:link w:val="4"/>
    <w:autoRedefine/>
    <w:qFormat/>
    <w:uiPriority w:val="99"/>
    <w:rPr>
      <w:rFonts w:ascii="Times New Roman" w:hAnsi="Times New Roman" w:eastAsia="宋体" w:cs="Times New Roman"/>
      <w:sz w:val="18"/>
      <w:szCs w:val="18"/>
    </w:rPr>
  </w:style>
  <w:style w:type="paragraph" w:customStyle="1" w:styleId="13">
    <w:name w:val="样式 标题 1 + 首行缩进:  2 字符"/>
    <w:basedOn w:val="2"/>
    <w:next w:val="1"/>
    <w:autoRedefine/>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4">
    <w:name w:val="正文表格"/>
    <w:basedOn w:val="1"/>
    <w:autoRedefine/>
    <w:qFormat/>
    <w:uiPriority w:val="0"/>
    <w:pPr>
      <w:spacing w:before="60" w:after="60"/>
    </w:pPr>
    <w:rPr>
      <w:sz w:val="24"/>
    </w:rPr>
  </w:style>
  <w:style w:type="character" w:customStyle="1" w:styleId="15">
    <w:name w:val="页眉 字符"/>
    <w:basedOn w:val="9"/>
    <w:link w:val="5"/>
    <w:autoRedefine/>
    <w:qFormat/>
    <w:uiPriority w:val="99"/>
    <w:rPr>
      <w:rFonts w:ascii="Times New Roman" w:hAnsi="Times New Roman" w:eastAsia="宋体" w:cs="Times New Roman"/>
      <w:sz w:val="18"/>
      <w:szCs w:val="18"/>
      <w:lang w:val="zh-CN" w:eastAsia="zh-CN"/>
    </w:rPr>
  </w:style>
  <w:style w:type="character" w:customStyle="1" w:styleId="16">
    <w:name w:val="标题 1 字符"/>
    <w:basedOn w:val="9"/>
    <w:link w:val="2"/>
    <w:autoRedefine/>
    <w:qFormat/>
    <w:uiPriority w:val="9"/>
    <w:rPr>
      <w:rFonts w:ascii="Times New Roman" w:hAnsi="Times New Roman" w:eastAsia="宋体" w:cs="Times New Roman"/>
      <w:b/>
      <w:bCs/>
      <w:kern w:val="44"/>
      <w:sz w:val="44"/>
      <w:szCs w:val="44"/>
    </w:rPr>
  </w:style>
  <w:style w:type="paragraph" w:customStyle="1" w:styleId="17">
    <w:name w:val="列出段落1"/>
    <w:basedOn w:val="1"/>
    <w:autoRedefine/>
    <w:qFormat/>
    <w:uiPriority w:val="99"/>
    <w:pPr>
      <w:ind w:firstLine="420" w:firstLineChars="200"/>
    </w:pPr>
  </w:style>
  <w:style w:type="character" w:customStyle="1" w:styleId="18">
    <w:name w:val="font6"/>
    <w:basedOn w:val="9"/>
    <w:autoRedefine/>
    <w:qFormat/>
    <w:uiPriority w:val="0"/>
  </w:style>
  <w:style w:type="character" w:customStyle="1" w:styleId="19">
    <w:name w:val="font5"/>
    <w:basedOn w:val="9"/>
    <w:autoRedefine/>
    <w:qFormat/>
    <w:uiPriority w:val="0"/>
  </w:style>
  <w:style w:type="character" w:customStyle="1" w:styleId="20">
    <w:name w:val="批注框文本 字符"/>
    <w:basedOn w:val="9"/>
    <w:link w:val="3"/>
    <w:autoRedefine/>
    <w:semiHidden/>
    <w:qFormat/>
    <w:uiPriority w:val="99"/>
    <w:rPr>
      <w:kern w:val="2"/>
      <w:sz w:val="18"/>
      <w:szCs w:val="18"/>
    </w:rPr>
  </w:style>
  <w:style w:type="paragraph" w:styleId="21">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2197</Words>
  <Characters>2234</Characters>
  <Lines>18</Lines>
  <Paragraphs>5</Paragraphs>
  <TotalTime>0</TotalTime>
  <ScaleCrop>false</ScaleCrop>
  <LinksUpToDate>false</LinksUpToDate>
  <CharactersWithSpaces>2575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2024-05-15T14:19:00Z</dcterms:created>
  <dc:creator>yjhe</dc:creator>
  <cp:lastModifiedBy>Jenifer</cp:lastModifiedBy>
  <cp:lastPrinted>2026-07-20T07:17:00Z</cp:lastPrinted>
  <dcterms:modified xsi:type="dcterms:W3CDTF">2026-09-10T03:07:02Z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C2EE0B7360124F338FEF39B04264B15A_13</vt:lpwstr>
  </property>
  <property fmtid="{D5CDD505-2E9C-101B-9397-08002B2CF9AE}" pid="4" name="KSOTemplateDocerSaveRecord">
    <vt:lpwstr>eyJoZGlkIjoiYzY5ZjcxZmZhZWY2YmM3ZGU0YThkOWU2ZWRmOGZkM2UiLCJ1c2VySWQiOiI0MzgxMjQzMjEifQ==</vt:lpwstr>
  </property>
</Properties>
</file>