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8FF36">
      <w:pPr>
        <w:jc w:val="center"/>
        <w:rPr>
          <w:rFonts w:ascii="方正小标宋_GBK" w:hAnsi="方正小标宋_GBK" w:eastAsia="方正小标宋_GBK" w:cs="方正小标宋_GBK"/>
          <w:b/>
          <w:sz w:val="24"/>
          <w:szCs w:val="24"/>
        </w:rPr>
      </w:pPr>
      <w:bookmarkStart w:id="0" w:name="OLE_LINK8"/>
      <w:bookmarkStart w:id="1" w:name="OLE_LINK7"/>
      <w:r>
        <w:rPr>
          <w:rFonts w:hint="eastAsia" w:ascii="方正小标宋_GBK" w:hAnsi="方正小标宋_GBK" w:eastAsia="方正小标宋_GBK" w:cs="方正小标宋_GBK"/>
          <w:b/>
          <w:sz w:val="44"/>
          <w:szCs w:val="44"/>
        </w:rPr>
        <w:t>企业国有资产出租挂牌</w:t>
      </w:r>
      <w:r>
        <w:rPr>
          <w:rFonts w:hint="eastAsia" w:ascii="方正小标宋_GBK" w:hAnsi="方正小标宋_GBK" w:eastAsia="方正小标宋_GBK" w:cs="方正小标宋_GBK"/>
          <w:b/>
          <w:sz w:val="44"/>
          <w:szCs w:val="44"/>
          <w:lang w:eastAsia="zh-TW"/>
        </w:rPr>
        <w:t>申请</w:t>
      </w:r>
      <w:r>
        <w:rPr>
          <w:rFonts w:hint="eastAsia" w:ascii="方正小标宋_GBK" w:hAnsi="方正小标宋_GBK" w:eastAsia="方正小标宋_GBK" w:cs="方正小标宋_GBK"/>
          <w:b/>
          <w:sz w:val="44"/>
          <w:szCs w:val="44"/>
        </w:rPr>
        <w:t>表</w:t>
      </w:r>
    </w:p>
    <w:tbl>
      <w:tblPr>
        <w:tblStyle w:val="3"/>
        <w:tblpPr w:leftFromText="180" w:rightFromText="180" w:vertAnchor="text" w:horzAnchor="page" w:tblpX="1514" w:tblpY="576"/>
        <w:tblOverlap w:val="never"/>
        <w:tblW w:w="9579"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72"/>
        <w:gridCol w:w="51"/>
        <w:gridCol w:w="572"/>
        <w:gridCol w:w="2256"/>
        <w:gridCol w:w="193"/>
        <w:gridCol w:w="145"/>
        <w:gridCol w:w="1396"/>
        <w:gridCol w:w="751"/>
        <w:gridCol w:w="248"/>
        <w:gridCol w:w="2395"/>
      </w:tblGrid>
      <w:tr w14:paraId="23DA2E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2195" w:type="dxa"/>
            <w:gridSpan w:val="3"/>
            <w:vAlign w:val="center"/>
          </w:tcPr>
          <w:p w14:paraId="2AA3580A">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出租标的名称</w:t>
            </w:r>
          </w:p>
        </w:tc>
        <w:tc>
          <w:tcPr>
            <w:tcW w:w="7384" w:type="dxa"/>
            <w:gridSpan w:val="7"/>
            <w:vAlign w:val="center"/>
          </w:tcPr>
          <w:p w14:paraId="4E4C93A1">
            <w:pPr>
              <w:spacing w:line="380" w:lineRule="exact"/>
              <w:textAlignment w:val="baseline"/>
              <w:rPr>
                <w:rFonts w:hint="default"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lang w:val="en-US" w:eastAsia="zh-CN"/>
              </w:rPr>
              <w:t>张家界华天酒店贵宾楼2楼</w:t>
            </w:r>
          </w:p>
        </w:tc>
      </w:tr>
      <w:tr w14:paraId="42BE37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2195" w:type="dxa"/>
            <w:gridSpan w:val="3"/>
            <w:tcBorders>
              <w:bottom w:val="single" w:color="auto" w:sz="4" w:space="0"/>
            </w:tcBorders>
            <w:vAlign w:val="center"/>
          </w:tcPr>
          <w:p w14:paraId="76BB8236">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挂牌价格（元）</w:t>
            </w:r>
          </w:p>
        </w:tc>
        <w:tc>
          <w:tcPr>
            <w:tcW w:w="7384" w:type="dxa"/>
            <w:gridSpan w:val="7"/>
            <w:tcBorders>
              <w:bottom w:val="single" w:color="auto" w:sz="4" w:space="0"/>
            </w:tcBorders>
            <w:vAlign w:val="center"/>
          </w:tcPr>
          <w:p w14:paraId="23904B59">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                  </w:t>
            </w:r>
            <w:r>
              <w:rPr>
                <w:rFonts w:hint="eastAsia" w:ascii="微软雅黑" w:hAnsi="微软雅黑" w:eastAsia="微软雅黑" w:cs="微软雅黑"/>
                <w:color w:val="auto"/>
                <w:kern w:val="0"/>
                <w:sz w:val="21"/>
                <w:szCs w:val="21"/>
                <w:u w:val="single"/>
              </w:rPr>
              <w:t xml:space="preserve"> </w:t>
            </w:r>
            <w:r>
              <w:rPr>
                <w:rFonts w:hint="eastAsia" w:ascii="微软雅黑" w:hAnsi="微软雅黑" w:eastAsia="微软雅黑" w:cs="微软雅黑"/>
                <w:color w:val="auto"/>
                <w:kern w:val="0"/>
                <w:sz w:val="21"/>
                <w:szCs w:val="21"/>
                <w:u w:val="single"/>
                <w:lang w:val="en-US" w:eastAsia="zh-CN"/>
              </w:rPr>
              <w:t>27元</w:t>
            </w:r>
            <w:r>
              <w:rPr>
                <w:rFonts w:hint="eastAsia" w:ascii="微软雅黑" w:hAnsi="微软雅黑" w:eastAsia="微软雅黑" w:cs="微软雅黑"/>
                <w:color w:val="auto"/>
                <w:kern w:val="0"/>
                <w:sz w:val="21"/>
                <w:szCs w:val="21"/>
              </w:rPr>
              <w:t xml:space="preserve"> 元/㎡/</w:t>
            </w:r>
            <w:r>
              <w:rPr>
                <w:rFonts w:hint="eastAsia" w:ascii="微软雅黑" w:hAnsi="微软雅黑" w:eastAsia="微软雅黑" w:cs="微软雅黑"/>
                <w:color w:val="auto"/>
                <w:kern w:val="0"/>
                <w:sz w:val="21"/>
                <w:szCs w:val="21"/>
              </w:rPr>
              <w:sym w:font="Wingdings 2" w:char="00A3"/>
            </w:r>
            <w:r>
              <w:rPr>
                <w:rFonts w:hint="eastAsia" w:ascii="微软雅黑" w:hAnsi="微软雅黑" w:eastAsia="微软雅黑" w:cs="微软雅黑"/>
                <w:color w:val="auto"/>
                <w:kern w:val="0"/>
                <w:sz w:val="21"/>
                <w:szCs w:val="21"/>
              </w:rPr>
              <w:t xml:space="preserve">天 </w:t>
            </w:r>
            <w:r>
              <w:rPr>
                <w:rFonts w:hint="eastAsia" w:ascii="微软雅黑" w:hAnsi="微软雅黑" w:eastAsia="微软雅黑" w:cs="微软雅黑"/>
                <w:color w:val="auto"/>
                <w:kern w:val="0"/>
                <w:sz w:val="21"/>
                <w:szCs w:val="21"/>
              </w:rPr>
              <w:sym w:font="Wingdings 2" w:char="0052"/>
            </w:r>
            <w:r>
              <w:rPr>
                <w:rFonts w:hint="eastAsia" w:ascii="微软雅黑" w:hAnsi="微软雅黑" w:eastAsia="微软雅黑" w:cs="微软雅黑"/>
                <w:color w:val="auto"/>
                <w:kern w:val="0"/>
                <w:sz w:val="21"/>
                <w:szCs w:val="21"/>
              </w:rPr>
              <w:t xml:space="preserve">月 </w:t>
            </w:r>
            <w:r>
              <w:rPr>
                <w:rFonts w:hint="eastAsia" w:ascii="微软雅黑" w:hAnsi="微软雅黑" w:eastAsia="微软雅黑" w:cs="微软雅黑"/>
                <w:color w:val="auto"/>
                <w:kern w:val="0"/>
                <w:sz w:val="21"/>
                <w:szCs w:val="21"/>
              </w:rPr>
              <w:sym w:font="Wingdings 2" w:char="00A3"/>
            </w:r>
            <w:r>
              <w:rPr>
                <w:rFonts w:hint="eastAsia" w:ascii="微软雅黑" w:hAnsi="微软雅黑" w:eastAsia="微软雅黑" w:cs="微软雅黑"/>
                <w:color w:val="auto"/>
                <w:kern w:val="0"/>
                <w:sz w:val="21"/>
                <w:szCs w:val="21"/>
              </w:rPr>
              <w:t xml:space="preserve">年  </w:t>
            </w:r>
          </w:p>
        </w:tc>
      </w:tr>
      <w:tr w14:paraId="4F88F0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72" w:hRule="atLeast"/>
        </w:trPr>
        <w:tc>
          <w:tcPr>
            <w:tcW w:w="9579" w:type="dxa"/>
            <w:gridSpan w:val="10"/>
            <w:tcBorders>
              <w:top w:val="single" w:color="auto" w:sz="4" w:space="0"/>
              <w:left w:val="single" w:color="auto" w:sz="4" w:space="0"/>
              <w:bottom w:val="single" w:color="auto" w:sz="4" w:space="0"/>
              <w:right w:val="single" w:color="auto" w:sz="4" w:space="0"/>
            </w:tcBorders>
            <w:vAlign w:val="center"/>
          </w:tcPr>
          <w:p w14:paraId="3CB16B3D">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出租方基本情况</w:t>
            </w:r>
          </w:p>
        </w:tc>
      </w:tr>
      <w:tr w14:paraId="48B592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3"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14:paraId="27657A7E">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出租方名称</w:t>
            </w:r>
          </w:p>
        </w:tc>
        <w:tc>
          <w:tcPr>
            <w:tcW w:w="7384" w:type="dxa"/>
            <w:gridSpan w:val="7"/>
            <w:tcBorders>
              <w:top w:val="single" w:color="auto" w:sz="4" w:space="0"/>
              <w:left w:val="single" w:color="auto" w:sz="4" w:space="0"/>
              <w:bottom w:val="single" w:color="auto" w:sz="4" w:space="0"/>
              <w:right w:val="single" w:color="auto" w:sz="4" w:space="0"/>
            </w:tcBorders>
            <w:vAlign w:val="center"/>
          </w:tcPr>
          <w:p w14:paraId="5E77E058">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rPr>
              <w:t xml:space="preserve"> </w:t>
            </w:r>
            <w:r>
              <w:rPr>
                <w:rFonts w:hint="eastAsia" w:ascii="微软雅黑" w:hAnsi="微软雅黑" w:eastAsia="微软雅黑" w:cs="微软雅黑"/>
                <w:color w:val="auto"/>
                <w:kern w:val="0"/>
                <w:sz w:val="21"/>
                <w:szCs w:val="21"/>
                <w:lang w:val="en-US" w:eastAsia="zh-CN"/>
              </w:rPr>
              <w:t xml:space="preserve"> </w:t>
            </w:r>
            <w:r>
              <w:rPr>
                <w:rFonts w:hint="eastAsia" w:ascii="微软雅黑" w:hAnsi="微软雅黑" w:eastAsia="微软雅黑" w:cs="微软雅黑"/>
                <w:b w:val="0"/>
                <w:bCs/>
                <w:color w:val="auto"/>
                <w:sz w:val="21"/>
                <w:szCs w:val="21"/>
                <w:lang w:eastAsia="zh-CN"/>
              </w:rPr>
              <w:t>张家界华天酒店管理有限责任公司</w:t>
            </w:r>
          </w:p>
        </w:tc>
      </w:tr>
      <w:tr w14:paraId="018111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14:paraId="7BE88707">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住所（地址）</w:t>
            </w:r>
          </w:p>
        </w:tc>
        <w:tc>
          <w:tcPr>
            <w:tcW w:w="7384" w:type="dxa"/>
            <w:gridSpan w:val="7"/>
            <w:tcBorders>
              <w:top w:val="single" w:color="auto" w:sz="4" w:space="0"/>
              <w:left w:val="single" w:color="auto" w:sz="4" w:space="0"/>
              <w:bottom w:val="single" w:color="auto" w:sz="4" w:space="0"/>
              <w:right w:val="single" w:color="auto" w:sz="4" w:space="0"/>
            </w:tcBorders>
            <w:vAlign w:val="center"/>
          </w:tcPr>
          <w:p w14:paraId="0C9D2A84">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lang w:val="en-US" w:eastAsia="zh-CN"/>
              </w:rPr>
              <w:t xml:space="preserve"> </w:t>
            </w:r>
            <w:r>
              <w:rPr>
                <w:rFonts w:hint="eastAsia" w:ascii="微软雅黑" w:hAnsi="微软雅黑" w:eastAsia="微软雅黑" w:cs="微软雅黑"/>
                <w:color w:val="auto"/>
                <w:sz w:val="21"/>
                <w:szCs w:val="21"/>
                <w:lang w:val="en-US" w:eastAsia="zh-CN"/>
              </w:rPr>
              <w:t>湖南省张家界永定区官黎坪华天酒店</w:t>
            </w:r>
          </w:p>
        </w:tc>
      </w:tr>
      <w:tr w14:paraId="2B542E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14:paraId="2827034C">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法定代表人/负责人</w:t>
            </w:r>
          </w:p>
        </w:tc>
        <w:tc>
          <w:tcPr>
            <w:tcW w:w="2256" w:type="dxa"/>
            <w:tcBorders>
              <w:top w:val="single" w:color="auto" w:sz="4" w:space="0"/>
              <w:left w:val="single" w:color="auto" w:sz="4" w:space="0"/>
              <w:bottom w:val="single" w:color="auto" w:sz="4" w:space="0"/>
              <w:right w:val="single" w:color="auto" w:sz="4" w:space="0"/>
            </w:tcBorders>
            <w:vAlign w:val="center"/>
          </w:tcPr>
          <w:p w14:paraId="6EF7FA2C">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rPr>
              <w:t xml:space="preserve"> </w:t>
            </w:r>
            <w:r>
              <w:rPr>
                <w:rFonts w:hint="eastAsia" w:ascii="微软雅黑" w:hAnsi="微软雅黑" w:eastAsia="微软雅黑" w:cs="微软雅黑"/>
                <w:color w:val="auto"/>
                <w:kern w:val="0"/>
                <w:sz w:val="21"/>
                <w:szCs w:val="21"/>
                <w:lang w:val="en-US" w:eastAsia="zh-CN"/>
              </w:rPr>
              <w:t xml:space="preserve"> 丁坚兴</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57BFE364">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统一社会</w:t>
            </w:r>
          </w:p>
          <w:p w14:paraId="3CA2451A">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信用代码</w:t>
            </w:r>
          </w:p>
        </w:tc>
        <w:tc>
          <w:tcPr>
            <w:tcW w:w="3394" w:type="dxa"/>
            <w:gridSpan w:val="3"/>
            <w:tcBorders>
              <w:top w:val="single" w:color="auto" w:sz="4" w:space="0"/>
              <w:left w:val="single" w:color="auto" w:sz="4" w:space="0"/>
              <w:bottom w:val="single" w:color="auto" w:sz="4" w:space="0"/>
              <w:right w:val="single" w:color="auto" w:sz="4" w:space="0"/>
            </w:tcBorders>
            <w:vAlign w:val="center"/>
          </w:tcPr>
          <w:p w14:paraId="6DB6B5E0">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rPr>
              <w:t xml:space="preserve"> </w:t>
            </w:r>
            <w:r>
              <w:rPr>
                <w:rFonts w:hint="eastAsia" w:ascii="微软雅黑" w:hAnsi="微软雅黑" w:eastAsia="微软雅黑" w:cs="微软雅黑"/>
                <w:color w:val="auto"/>
                <w:kern w:val="0"/>
                <w:sz w:val="21"/>
                <w:szCs w:val="21"/>
                <w:lang w:val="en-US" w:eastAsia="zh-CN"/>
              </w:rPr>
              <w:t xml:space="preserve"> </w:t>
            </w:r>
            <w:r>
              <w:rPr>
                <w:rFonts w:hint="eastAsia" w:ascii="微软雅黑" w:hAnsi="微软雅黑" w:eastAsia="微软雅黑" w:cs="微软雅黑"/>
                <w:color w:val="auto"/>
                <w:sz w:val="21"/>
                <w:szCs w:val="21"/>
                <w:u w:val="none"/>
                <w:lang w:val="en-US" w:eastAsia="zh-CN"/>
              </w:rPr>
              <w:t>91430800060104899J</w:t>
            </w:r>
          </w:p>
        </w:tc>
      </w:tr>
      <w:tr w14:paraId="5AB6CF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14:paraId="7672B571">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项目联系人</w:t>
            </w:r>
          </w:p>
        </w:tc>
        <w:tc>
          <w:tcPr>
            <w:tcW w:w="2256" w:type="dxa"/>
            <w:tcBorders>
              <w:top w:val="single" w:color="auto" w:sz="4" w:space="0"/>
              <w:left w:val="single" w:color="auto" w:sz="4" w:space="0"/>
              <w:bottom w:val="single" w:color="auto" w:sz="4" w:space="0"/>
              <w:right w:val="single" w:color="auto" w:sz="4" w:space="0"/>
            </w:tcBorders>
            <w:vAlign w:val="center"/>
          </w:tcPr>
          <w:p w14:paraId="2F8B54D9">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rPr>
              <w:t xml:space="preserve"> </w:t>
            </w:r>
            <w:r>
              <w:rPr>
                <w:rFonts w:hint="eastAsia" w:ascii="微软雅黑" w:hAnsi="微软雅黑" w:eastAsia="微软雅黑" w:cs="微软雅黑"/>
                <w:color w:val="auto"/>
                <w:kern w:val="0"/>
                <w:sz w:val="21"/>
                <w:szCs w:val="21"/>
                <w:lang w:val="en-US" w:eastAsia="zh-CN"/>
              </w:rPr>
              <w:t xml:space="preserve"> 陈志明</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069173AC">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联系电话</w:t>
            </w:r>
          </w:p>
        </w:tc>
        <w:tc>
          <w:tcPr>
            <w:tcW w:w="3394" w:type="dxa"/>
            <w:gridSpan w:val="3"/>
            <w:tcBorders>
              <w:top w:val="single" w:color="auto" w:sz="4" w:space="0"/>
              <w:left w:val="single" w:color="auto" w:sz="4" w:space="0"/>
              <w:bottom w:val="single" w:color="auto" w:sz="4" w:space="0"/>
              <w:right w:val="single" w:color="auto" w:sz="4" w:space="0"/>
            </w:tcBorders>
            <w:vAlign w:val="center"/>
          </w:tcPr>
          <w:p w14:paraId="6BC2AFA9">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rPr>
              <w:t xml:space="preserve"> </w:t>
            </w:r>
            <w:r>
              <w:rPr>
                <w:rFonts w:hint="eastAsia" w:ascii="微软雅黑" w:hAnsi="微软雅黑" w:eastAsia="微软雅黑" w:cs="微软雅黑"/>
                <w:color w:val="auto"/>
                <w:kern w:val="0"/>
                <w:sz w:val="21"/>
                <w:szCs w:val="21"/>
                <w:lang w:val="en-US" w:eastAsia="zh-CN"/>
              </w:rPr>
              <w:t xml:space="preserve"> 18174488008</w:t>
            </w:r>
          </w:p>
        </w:tc>
      </w:tr>
      <w:tr w14:paraId="5D7574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7" w:hRule="atLeast"/>
        </w:trPr>
        <w:tc>
          <w:tcPr>
            <w:tcW w:w="9579" w:type="dxa"/>
            <w:gridSpan w:val="10"/>
            <w:tcBorders>
              <w:top w:val="single" w:color="auto" w:sz="4" w:space="0"/>
              <w:left w:val="single" w:color="auto" w:sz="4" w:space="0"/>
              <w:bottom w:val="single" w:color="auto" w:sz="4" w:space="0"/>
              <w:right w:val="single" w:color="auto" w:sz="4" w:space="0"/>
            </w:tcBorders>
            <w:vAlign w:val="center"/>
          </w:tcPr>
          <w:p w14:paraId="3FBE64F2">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出租标的基本情况</w:t>
            </w:r>
          </w:p>
        </w:tc>
      </w:tr>
      <w:tr w14:paraId="10CB6D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5"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14:paraId="5D085894">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出租面积</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7E434420">
            <w:pPr>
              <w:spacing w:line="380" w:lineRule="exact"/>
              <w:textAlignment w:val="baseline"/>
              <w:rPr>
                <w:rFonts w:hint="eastAsia" w:ascii="微软雅黑" w:hAnsi="微软雅黑" w:eastAsia="微软雅黑" w:cs="微软雅黑"/>
                <w:color w:val="auto"/>
                <w:kern w:val="0"/>
                <w:sz w:val="21"/>
                <w:szCs w:val="21"/>
                <w:lang w:val="en-US"/>
              </w:rPr>
            </w:pPr>
            <w:r>
              <w:rPr>
                <w:rFonts w:hint="eastAsia" w:ascii="微软雅黑" w:hAnsi="微软雅黑" w:eastAsia="微软雅黑" w:cs="微软雅黑"/>
                <w:sz w:val="21"/>
                <w:szCs w:val="21"/>
                <w:lang w:val="en-US" w:eastAsia="zh-CN"/>
              </w:rPr>
              <w:t>110㎡</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11F63346">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坐落位置</w:t>
            </w:r>
          </w:p>
        </w:tc>
        <w:tc>
          <w:tcPr>
            <w:tcW w:w="2395" w:type="dxa"/>
            <w:tcBorders>
              <w:top w:val="single" w:color="auto" w:sz="4" w:space="0"/>
              <w:left w:val="single" w:color="auto" w:sz="4" w:space="0"/>
              <w:bottom w:val="single" w:color="auto" w:sz="4" w:space="0"/>
              <w:right w:val="single" w:color="auto" w:sz="4" w:space="0"/>
            </w:tcBorders>
            <w:vAlign w:val="center"/>
          </w:tcPr>
          <w:p w14:paraId="65F72E24">
            <w:pPr>
              <w:spacing w:line="360" w:lineRule="auto"/>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lang w:val="en-US" w:eastAsia="zh-CN"/>
              </w:rPr>
              <w:t>湖南省张家界永定区官黎坪华天酒店内</w:t>
            </w:r>
          </w:p>
        </w:tc>
      </w:tr>
      <w:tr w14:paraId="600BF1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14:paraId="5FA515D8">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不动产权证号/房产证号</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12EBFBFB">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b w:val="0"/>
                <w:bCs w:val="0"/>
                <w:color w:val="auto"/>
                <w:sz w:val="21"/>
                <w:szCs w:val="21"/>
                <w:u w:val="none"/>
                <w:lang w:eastAsia="zh-CN"/>
              </w:rPr>
              <w:t>湘（</w:t>
            </w:r>
            <w:r>
              <w:rPr>
                <w:rFonts w:hint="eastAsia" w:ascii="微软雅黑" w:hAnsi="微软雅黑" w:eastAsia="微软雅黑" w:cs="微软雅黑"/>
                <w:b w:val="0"/>
                <w:bCs w:val="0"/>
                <w:color w:val="auto"/>
                <w:sz w:val="21"/>
                <w:szCs w:val="21"/>
                <w:u w:val="none"/>
                <w:lang w:val="en-US" w:eastAsia="zh-CN"/>
              </w:rPr>
              <w:t>2020</w:t>
            </w:r>
            <w:r>
              <w:rPr>
                <w:rFonts w:hint="eastAsia" w:ascii="微软雅黑" w:hAnsi="微软雅黑" w:eastAsia="微软雅黑" w:cs="微软雅黑"/>
                <w:b w:val="0"/>
                <w:bCs w:val="0"/>
                <w:color w:val="auto"/>
                <w:sz w:val="21"/>
                <w:szCs w:val="21"/>
                <w:u w:val="none"/>
                <w:lang w:eastAsia="zh-CN"/>
              </w:rPr>
              <w:t>）张不动产权第</w:t>
            </w:r>
            <w:r>
              <w:rPr>
                <w:rFonts w:hint="eastAsia" w:ascii="微软雅黑" w:hAnsi="微软雅黑" w:eastAsia="微软雅黑" w:cs="微软雅黑"/>
                <w:b w:val="0"/>
                <w:bCs w:val="0"/>
                <w:color w:val="auto"/>
                <w:sz w:val="21"/>
                <w:szCs w:val="21"/>
                <w:u w:val="none"/>
                <w:lang w:val="en-US" w:eastAsia="zh-CN"/>
              </w:rPr>
              <w:t>0003920号</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491FA485">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租赁期限</w:t>
            </w:r>
          </w:p>
        </w:tc>
        <w:tc>
          <w:tcPr>
            <w:tcW w:w="2395" w:type="dxa"/>
            <w:tcBorders>
              <w:top w:val="single" w:color="auto" w:sz="4" w:space="0"/>
              <w:left w:val="single" w:color="auto" w:sz="4" w:space="0"/>
              <w:bottom w:val="single" w:color="auto" w:sz="4" w:space="0"/>
              <w:right w:val="single" w:color="auto" w:sz="4" w:space="0"/>
            </w:tcBorders>
            <w:vAlign w:val="center"/>
          </w:tcPr>
          <w:p w14:paraId="35137D36">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lang w:val="en-US" w:eastAsia="zh-CN"/>
              </w:rPr>
              <w:t xml:space="preserve"> 3年</w:t>
            </w:r>
          </w:p>
        </w:tc>
      </w:tr>
      <w:tr w14:paraId="644195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14:paraId="7C536A91">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年租金及调整方式</w:t>
            </w:r>
          </w:p>
        </w:tc>
        <w:tc>
          <w:tcPr>
            <w:tcW w:w="7956" w:type="dxa"/>
            <w:gridSpan w:val="8"/>
            <w:tcBorders>
              <w:top w:val="single" w:color="auto" w:sz="4" w:space="0"/>
              <w:left w:val="single" w:color="auto" w:sz="4" w:space="0"/>
              <w:bottom w:val="single" w:color="auto" w:sz="4" w:space="0"/>
              <w:right w:val="single" w:color="auto" w:sz="4" w:space="0"/>
            </w:tcBorders>
            <w:vAlign w:val="center"/>
          </w:tcPr>
          <w:p w14:paraId="21A31F94">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000000" w:themeColor="text1"/>
                <w:kern w:val="0"/>
                <w:sz w:val="21"/>
                <w:szCs w:val="21"/>
                <w:lang w:val="en-US" w:eastAsia="zh-CN"/>
                <w14:textFill>
                  <w14:solidFill>
                    <w14:schemeClr w14:val="tx1"/>
                  </w14:solidFill>
                </w14:textFill>
              </w:rPr>
              <w:t xml:space="preserve"> 35640元</w:t>
            </w:r>
            <w:bookmarkStart w:id="2" w:name="_GoBack"/>
            <w:bookmarkEnd w:id="2"/>
          </w:p>
        </w:tc>
      </w:tr>
      <w:tr w14:paraId="5152C6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14:paraId="60473E07">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资产使用用途要求</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5F337E4D">
            <w:pPr>
              <w:spacing w:line="380" w:lineRule="exact"/>
              <w:textAlignment w:val="baseline"/>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lang w:val="en-US" w:eastAsia="zh-CN"/>
              </w:rPr>
              <w:t xml:space="preserve"> 办公场地</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56978BBD">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水、电、气、热、物业费等费用的约定</w:t>
            </w:r>
          </w:p>
        </w:tc>
        <w:tc>
          <w:tcPr>
            <w:tcW w:w="2395" w:type="dxa"/>
            <w:tcBorders>
              <w:top w:val="single" w:color="auto" w:sz="4" w:space="0"/>
              <w:left w:val="single" w:color="auto" w:sz="4" w:space="0"/>
              <w:bottom w:val="single" w:color="auto" w:sz="4" w:space="0"/>
              <w:right w:val="single" w:color="auto" w:sz="4" w:space="0"/>
            </w:tcBorders>
            <w:vAlign w:val="center"/>
          </w:tcPr>
          <w:p w14:paraId="3AA9BAB2">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000000" w:themeColor="text1"/>
                <w:sz w:val="21"/>
                <w:szCs w:val="21"/>
                <w:lang w:val="en-US" w:eastAsia="zh-CN"/>
                <w14:textFill>
                  <w14:solidFill>
                    <w14:schemeClr w14:val="tx1"/>
                  </w14:solidFill>
                </w14:textFill>
              </w:rPr>
              <w:t>物业管理费每月每平方按5元收取，电费每度1.2元，水费每吨10元</w:t>
            </w:r>
          </w:p>
        </w:tc>
      </w:tr>
      <w:tr w14:paraId="4E81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579" w:type="dxa"/>
            <w:gridSpan w:val="10"/>
            <w:tcBorders>
              <w:top w:val="single" w:color="auto" w:sz="4" w:space="0"/>
              <w:left w:val="single" w:color="auto" w:sz="2" w:space="0"/>
              <w:right w:val="single" w:color="auto" w:sz="2" w:space="0"/>
            </w:tcBorders>
            <w:vAlign w:val="center"/>
          </w:tcPr>
          <w:p w14:paraId="04C21776">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出租行为批准（备案）及资产评估情况</w:t>
            </w:r>
          </w:p>
        </w:tc>
      </w:tr>
      <w:tr w14:paraId="7E261D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572" w:type="dxa"/>
            <w:tcBorders>
              <w:top w:val="single" w:color="auto" w:sz="2" w:space="0"/>
              <w:left w:val="single" w:color="auto" w:sz="2" w:space="0"/>
              <w:bottom w:val="single" w:color="auto" w:sz="2" w:space="0"/>
              <w:right w:val="single" w:color="auto" w:sz="2" w:space="0"/>
            </w:tcBorders>
            <w:vAlign w:val="center"/>
          </w:tcPr>
          <w:p w14:paraId="5371D271">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批准（备案）单位</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2DFA504E">
            <w:pPr>
              <w:spacing w:line="380" w:lineRule="exact"/>
              <w:textAlignment w:val="baseline"/>
              <w:rPr>
                <w:rFonts w:hint="eastAsia" w:ascii="微软雅黑" w:hAnsi="微软雅黑" w:eastAsia="微软雅黑" w:cs="微软雅黑"/>
                <w:color w:val="000000" w:themeColor="text1"/>
                <w:kern w:val="0"/>
                <w:sz w:val="21"/>
                <w:szCs w:val="21"/>
                <w:lang w:eastAsia="zh-CN"/>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lang w:eastAsia="zh-CN"/>
                <w14:textFill>
                  <w14:solidFill>
                    <w14:schemeClr w14:val="tx1"/>
                  </w14:solidFill>
                </w14:textFill>
              </w:rPr>
              <w:t>张家界华天酒店管理有限责任公司</w:t>
            </w:r>
          </w:p>
        </w:tc>
        <w:tc>
          <w:tcPr>
            <w:tcW w:w="2292" w:type="dxa"/>
            <w:gridSpan w:val="3"/>
            <w:tcBorders>
              <w:top w:val="single" w:color="auto" w:sz="2" w:space="0"/>
              <w:left w:val="single" w:color="auto" w:sz="2" w:space="0"/>
              <w:bottom w:val="single" w:color="auto" w:sz="2" w:space="0"/>
              <w:right w:val="single" w:color="auto" w:sz="2" w:space="0"/>
            </w:tcBorders>
            <w:vAlign w:val="center"/>
          </w:tcPr>
          <w:p w14:paraId="1E1E7DF1">
            <w:pPr>
              <w:spacing w:line="380" w:lineRule="exact"/>
              <w:textAlignment w:val="baseline"/>
              <w:rPr>
                <w:rFonts w:hint="eastAsia" w:ascii="微软雅黑" w:hAnsi="微软雅黑" w:eastAsia="微软雅黑" w:cs="微软雅黑"/>
                <w:color w:val="000000" w:themeColor="text1"/>
                <w:kern w:val="0"/>
                <w:sz w:val="21"/>
                <w:szCs w:val="21"/>
                <w14:textFill>
                  <w14:solidFill>
                    <w14:schemeClr w14:val="tx1"/>
                  </w14:solidFill>
                </w14:textFill>
              </w:rPr>
            </w:pPr>
            <w:r>
              <w:rPr>
                <w:rFonts w:hint="eastAsia" w:ascii="微软雅黑" w:hAnsi="微软雅黑" w:eastAsia="微软雅黑" w:cs="微软雅黑"/>
                <w:color w:val="000000" w:themeColor="text1"/>
                <w:kern w:val="0"/>
                <w:sz w:val="21"/>
                <w:szCs w:val="21"/>
                <w14:textFill>
                  <w14:solidFill>
                    <w14:schemeClr w14:val="tx1"/>
                  </w14:solidFill>
                </w14:textFill>
              </w:rPr>
              <w:t>批准（备案）文号</w:t>
            </w:r>
          </w:p>
        </w:tc>
        <w:tc>
          <w:tcPr>
            <w:tcW w:w="2643" w:type="dxa"/>
            <w:gridSpan w:val="2"/>
            <w:tcBorders>
              <w:top w:val="single" w:color="auto" w:sz="2" w:space="0"/>
              <w:left w:val="single" w:color="auto" w:sz="2" w:space="0"/>
              <w:bottom w:val="single" w:color="auto" w:sz="2" w:space="0"/>
              <w:right w:val="single" w:color="auto" w:sz="2" w:space="0"/>
            </w:tcBorders>
            <w:vAlign w:val="center"/>
          </w:tcPr>
          <w:p w14:paraId="3ED7F47F">
            <w:pPr>
              <w:spacing w:line="380" w:lineRule="exact"/>
              <w:textAlignment w:val="baseline"/>
              <w:rPr>
                <w:rFonts w:hint="eastAsia" w:ascii="微软雅黑" w:hAnsi="微软雅黑" w:eastAsia="微软雅黑" w:cs="微软雅黑"/>
                <w:color w:val="000000" w:themeColor="text1"/>
                <w:kern w:val="0"/>
                <w:sz w:val="21"/>
                <w:szCs w:val="21"/>
                <w:lang w:eastAsia="zh-CN"/>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0"/>
                <w:szCs w:val="21"/>
                <w:lang w:val="en-US" w:eastAsia="zh-CN"/>
                <w14:textFill>
                  <w14:solidFill>
                    <w14:schemeClr w14:val="tx1"/>
                  </w14:solidFill>
                </w14:textFill>
              </w:rPr>
              <w:t xml:space="preserve"> 内部决策</w:t>
            </w:r>
          </w:p>
        </w:tc>
      </w:tr>
      <w:tr w14:paraId="51FAFA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572" w:type="dxa"/>
            <w:tcBorders>
              <w:top w:val="single" w:color="auto" w:sz="2" w:space="0"/>
              <w:left w:val="single" w:color="auto" w:sz="2" w:space="0"/>
              <w:bottom w:val="single" w:color="auto" w:sz="2" w:space="0"/>
              <w:right w:val="single" w:color="auto" w:sz="2" w:space="0"/>
            </w:tcBorders>
            <w:vAlign w:val="center"/>
          </w:tcPr>
          <w:p w14:paraId="23EDDAB9">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资产出租定价方式</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13344D0F">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sym w:font="Wingdings 2" w:char="0052"/>
            </w:r>
            <w:r>
              <w:rPr>
                <w:rFonts w:hint="eastAsia" w:ascii="微软雅黑" w:hAnsi="微软雅黑" w:eastAsia="微软雅黑" w:cs="微软雅黑"/>
                <w:color w:val="auto"/>
                <w:kern w:val="0"/>
                <w:sz w:val="21"/>
                <w:szCs w:val="21"/>
              </w:rPr>
              <w:t xml:space="preserve"> 资产评估 </w:t>
            </w:r>
            <w:r>
              <w:rPr>
                <w:rFonts w:hint="eastAsia" w:ascii="微软雅黑" w:hAnsi="微软雅黑" w:eastAsia="微软雅黑" w:cs="微软雅黑"/>
                <w:color w:val="auto"/>
                <w:kern w:val="0"/>
                <w:sz w:val="21"/>
                <w:szCs w:val="21"/>
              </w:rPr>
              <w:sym w:font="Wingdings 2" w:char="00A3"/>
            </w:r>
            <w:r>
              <w:rPr>
                <w:rFonts w:hint="eastAsia" w:ascii="微软雅黑" w:hAnsi="微软雅黑" w:eastAsia="微软雅黑" w:cs="微软雅黑"/>
                <w:color w:val="auto"/>
                <w:kern w:val="0"/>
                <w:sz w:val="21"/>
                <w:szCs w:val="21"/>
              </w:rPr>
              <w:t xml:space="preserve"> 市场询价</w:t>
            </w:r>
          </w:p>
        </w:tc>
        <w:tc>
          <w:tcPr>
            <w:tcW w:w="2292" w:type="dxa"/>
            <w:gridSpan w:val="3"/>
            <w:tcBorders>
              <w:top w:val="single" w:color="auto" w:sz="2" w:space="0"/>
              <w:left w:val="single" w:color="auto" w:sz="2" w:space="0"/>
              <w:bottom w:val="single" w:color="auto" w:sz="2" w:space="0"/>
              <w:right w:val="single" w:color="auto" w:sz="2" w:space="0"/>
            </w:tcBorders>
            <w:vAlign w:val="center"/>
          </w:tcPr>
          <w:p w14:paraId="433EA481">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sym w:font="Wingdings 2" w:char="0052"/>
            </w:r>
            <w:r>
              <w:rPr>
                <w:rFonts w:hint="eastAsia" w:ascii="微软雅黑" w:hAnsi="微软雅黑" w:eastAsia="微软雅黑" w:cs="微软雅黑"/>
                <w:color w:val="auto"/>
                <w:kern w:val="0"/>
                <w:sz w:val="21"/>
                <w:szCs w:val="21"/>
              </w:rPr>
              <w:t xml:space="preserve">评估值  </w:t>
            </w:r>
            <w:r>
              <w:rPr>
                <w:rFonts w:hint="eastAsia" w:ascii="微软雅黑" w:hAnsi="微软雅黑" w:eastAsia="微软雅黑" w:cs="微软雅黑"/>
                <w:color w:val="auto"/>
                <w:kern w:val="0"/>
                <w:sz w:val="21"/>
                <w:szCs w:val="21"/>
              </w:rPr>
              <w:sym w:font="Wingdings 2" w:char="00A3"/>
            </w:r>
            <w:r>
              <w:rPr>
                <w:rFonts w:hint="eastAsia" w:ascii="微软雅黑" w:hAnsi="微软雅黑" w:eastAsia="微软雅黑" w:cs="微软雅黑"/>
                <w:color w:val="auto"/>
                <w:kern w:val="0"/>
                <w:sz w:val="21"/>
                <w:szCs w:val="21"/>
              </w:rPr>
              <w:t>询价结果</w:t>
            </w:r>
          </w:p>
        </w:tc>
        <w:tc>
          <w:tcPr>
            <w:tcW w:w="2643" w:type="dxa"/>
            <w:gridSpan w:val="2"/>
            <w:tcBorders>
              <w:top w:val="single" w:color="auto" w:sz="2" w:space="0"/>
              <w:left w:val="single" w:color="auto" w:sz="2" w:space="0"/>
              <w:bottom w:val="single" w:color="auto" w:sz="2" w:space="0"/>
              <w:right w:val="single" w:color="auto" w:sz="2" w:space="0"/>
            </w:tcBorders>
            <w:vAlign w:val="center"/>
          </w:tcPr>
          <w:p w14:paraId="05B44F57">
            <w:pPr>
              <w:spacing w:line="380" w:lineRule="exact"/>
              <w:textAlignment w:val="baseline"/>
              <w:rPr>
                <w:rFonts w:hint="default"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FF0000"/>
                <w:kern w:val="0"/>
                <w:sz w:val="21"/>
                <w:szCs w:val="21"/>
                <w:lang w:val="en-US" w:eastAsia="zh-CN"/>
              </w:rPr>
              <w:t xml:space="preserve"> </w:t>
            </w:r>
            <w:r>
              <w:rPr>
                <w:rFonts w:hint="eastAsia" w:ascii="微软雅黑" w:hAnsi="微软雅黑" w:eastAsia="微软雅黑" w:cs="微软雅黑"/>
                <w:color w:val="000000" w:themeColor="text1"/>
                <w:kern w:val="0"/>
                <w:sz w:val="21"/>
                <w:szCs w:val="21"/>
                <w:lang w:val="en-US" w:eastAsia="zh-CN"/>
                <w14:textFill>
                  <w14:solidFill>
                    <w14:schemeClr w14:val="tx1"/>
                  </w14:solidFill>
                </w14:textFill>
              </w:rPr>
              <w:t>年租金：35640元</w:t>
            </w:r>
          </w:p>
        </w:tc>
      </w:tr>
      <w:tr w14:paraId="15CF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9579" w:type="dxa"/>
            <w:gridSpan w:val="10"/>
            <w:vAlign w:val="center"/>
          </w:tcPr>
          <w:p w14:paraId="3ABB5016">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挂牌公告期</w:t>
            </w:r>
          </w:p>
        </w:tc>
      </w:tr>
      <w:tr w14:paraId="3176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579" w:type="dxa"/>
            <w:gridSpan w:val="10"/>
            <w:vAlign w:val="center"/>
          </w:tcPr>
          <w:p w14:paraId="698F809D">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挂牌公告期：自公告之日起</w:t>
            </w:r>
            <w:r>
              <w:rPr>
                <w:rFonts w:hint="eastAsia" w:ascii="微软雅黑" w:hAnsi="微软雅黑" w:eastAsia="微软雅黑" w:cs="微软雅黑"/>
                <w:color w:val="auto"/>
                <w:kern w:val="0"/>
                <w:sz w:val="21"/>
                <w:szCs w:val="21"/>
                <w:lang w:val="en-US" w:eastAsia="zh-CN"/>
              </w:rPr>
              <w:t>5</w:t>
            </w:r>
            <w:r>
              <w:rPr>
                <w:rFonts w:hint="eastAsia" w:ascii="微软雅黑" w:hAnsi="微软雅黑" w:eastAsia="微软雅黑" w:cs="微软雅黑"/>
                <w:color w:val="auto"/>
                <w:kern w:val="0"/>
                <w:sz w:val="21"/>
                <w:szCs w:val="21"/>
              </w:rPr>
              <w:t>个工作日</w:t>
            </w:r>
          </w:p>
          <w:p w14:paraId="71BA65C1">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1、挂牌价格低于100万元的资产，挂牌期不少于</w:t>
            </w:r>
            <w:r>
              <w:rPr>
                <w:rFonts w:hint="eastAsia" w:ascii="微软雅黑" w:hAnsi="微软雅黑" w:eastAsia="微软雅黑" w:cs="微软雅黑"/>
                <w:color w:val="auto"/>
                <w:kern w:val="0"/>
                <w:sz w:val="21"/>
                <w:szCs w:val="21"/>
                <w:lang w:val="en-US" w:eastAsia="zh-CN"/>
              </w:rPr>
              <w:t xml:space="preserve"> 5</w:t>
            </w:r>
            <w:r>
              <w:rPr>
                <w:rFonts w:hint="eastAsia" w:ascii="微软雅黑" w:hAnsi="微软雅黑" w:eastAsia="微软雅黑" w:cs="微软雅黑"/>
                <w:color w:val="auto"/>
                <w:kern w:val="0"/>
                <w:sz w:val="21"/>
                <w:szCs w:val="21"/>
              </w:rPr>
              <w:t>个工作日；</w:t>
            </w:r>
          </w:p>
          <w:p w14:paraId="14E07CC1">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2、挂牌底价等于或高于100万元、低于1000万元的项目，挂牌期不少于10个工作日；</w:t>
            </w:r>
          </w:p>
          <w:p w14:paraId="63B10846">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3、挂牌底价等于或高于1000万元的项目，挂牌期不少于20个工作日。</w:t>
            </w:r>
          </w:p>
        </w:tc>
      </w:tr>
      <w:tr w14:paraId="37FB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579" w:type="dxa"/>
            <w:gridSpan w:val="10"/>
            <w:vAlign w:val="center"/>
          </w:tcPr>
          <w:p w14:paraId="6F289D8C">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挂牌期满，如未征集到意向承租方，则：    </w:t>
            </w:r>
          </w:p>
          <w:p w14:paraId="417115E4">
            <w:pPr>
              <w:spacing w:line="380" w:lineRule="exact"/>
              <w:textAlignment w:val="baseline"/>
              <w:rPr>
                <w:rFonts w:hint="eastAsia" w:ascii="微软雅黑" w:hAnsi="微软雅黑" w:eastAsia="微软雅黑" w:cs="微软雅黑"/>
                <w:color w:val="FF0000"/>
                <w:kern w:val="0"/>
                <w:sz w:val="21"/>
                <w:szCs w:val="21"/>
              </w:rPr>
            </w:pPr>
            <w:r>
              <w:rPr>
                <w:rFonts w:hint="eastAsia" w:ascii="微软雅黑" w:hAnsi="微软雅黑" w:eastAsia="微软雅黑" w:cs="微软雅黑"/>
                <w:color w:val="000000" w:themeColor="text1"/>
                <w:kern w:val="0"/>
                <w:sz w:val="21"/>
                <w:szCs w:val="21"/>
                <w:lang w:eastAsia="zh-CN"/>
                <w14:textFill>
                  <w14:solidFill>
                    <w14:schemeClr w14:val="tx1"/>
                  </w14:solidFill>
                </w14:textFill>
              </w:rPr>
              <w:t>☑</w:t>
            </w:r>
            <w:r>
              <w:rPr>
                <w:rFonts w:hint="eastAsia" w:ascii="微软雅黑" w:hAnsi="微软雅黑" w:eastAsia="微软雅黑" w:cs="微软雅黑"/>
                <w:color w:val="000000" w:themeColor="text1"/>
                <w:kern w:val="0"/>
                <w:sz w:val="21"/>
                <w:szCs w:val="21"/>
                <w14:textFill>
                  <w14:solidFill>
                    <w14:schemeClr w14:val="tx1"/>
                  </w14:solidFill>
                </w14:textFill>
              </w:rPr>
              <w:t>不变更挂牌条件，按照</w:t>
            </w:r>
            <w:r>
              <w:rPr>
                <w:rFonts w:hint="eastAsia" w:ascii="微软雅黑" w:hAnsi="微软雅黑" w:eastAsia="微软雅黑" w:cs="微软雅黑"/>
                <w:color w:val="000000" w:themeColor="text1"/>
                <w:kern w:val="0"/>
                <w:sz w:val="21"/>
                <w:szCs w:val="21"/>
                <w:lang w:val="en-US" w:eastAsia="zh-CN"/>
                <w14:textFill>
                  <w14:solidFill>
                    <w14:schemeClr w14:val="tx1"/>
                  </w14:solidFill>
                </w14:textFill>
              </w:rPr>
              <w:t>10</w:t>
            </w:r>
            <w:r>
              <w:rPr>
                <w:rFonts w:hint="eastAsia" w:ascii="微软雅黑" w:hAnsi="微软雅黑" w:eastAsia="微软雅黑" w:cs="微软雅黑"/>
                <w:color w:val="000000" w:themeColor="text1"/>
                <w:kern w:val="0"/>
                <w:sz w:val="21"/>
                <w:szCs w:val="21"/>
                <w14:textFill>
                  <w14:solidFill>
                    <w14:schemeClr w14:val="tx1"/>
                  </w14:solidFill>
                </w14:textFill>
              </w:rPr>
              <w:t>个工作日为一个延长周期，最多顺延</w:t>
            </w:r>
            <w:r>
              <w:rPr>
                <w:rFonts w:hint="eastAsia" w:ascii="微软雅黑" w:hAnsi="微软雅黑" w:eastAsia="微软雅黑" w:cs="微软雅黑"/>
                <w:color w:val="000000" w:themeColor="text1"/>
                <w:kern w:val="0"/>
                <w:sz w:val="21"/>
                <w:szCs w:val="21"/>
                <w:u w:val="single"/>
                <w:lang w:val="en-US" w:eastAsia="zh-CN"/>
                <w14:textFill>
                  <w14:solidFill>
                    <w14:schemeClr w14:val="tx1"/>
                  </w14:solidFill>
                </w14:textFill>
              </w:rPr>
              <w:t xml:space="preserve">  1  </w:t>
            </w:r>
            <w:r>
              <w:rPr>
                <w:rFonts w:hint="eastAsia" w:ascii="微软雅黑" w:hAnsi="微软雅黑" w:eastAsia="微软雅黑" w:cs="微软雅黑"/>
                <w:color w:val="000000" w:themeColor="text1"/>
                <w:kern w:val="0"/>
                <w:sz w:val="21"/>
                <w:szCs w:val="21"/>
                <w14:textFill>
                  <w14:solidFill>
                    <w14:schemeClr w14:val="tx1"/>
                  </w14:solidFill>
                </w14:textFill>
              </w:rPr>
              <w:t>个周期。</w:t>
            </w:r>
          </w:p>
          <w:p w14:paraId="3A7E835D">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变更挂牌条件，待重新办理挂牌手续后再次挂牌。</w:t>
            </w:r>
          </w:p>
          <w:p w14:paraId="123895C9">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撤牌。</w:t>
            </w:r>
          </w:p>
          <w:p w14:paraId="5AECDA4F">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其他：另行协商。</w:t>
            </w:r>
          </w:p>
        </w:tc>
      </w:tr>
      <w:tr w14:paraId="45CC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579" w:type="dxa"/>
            <w:gridSpan w:val="10"/>
            <w:vAlign w:val="center"/>
          </w:tcPr>
          <w:p w14:paraId="2E527E4B">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意向承租方资格条件</w:t>
            </w:r>
          </w:p>
        </w:tc>
      </w:tr>
      <w:tr w14:paraId="7243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9579" w:type="dxa"/>
            <w:gridSpan w:val="10"/>
            <w:vAlign w:val="center"/>
          </w:tcPr>
          <w:p w14:paraId="03DB28BA">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1、意向承租方为依法注册且有效存续的法人或非法人组织的，应能承担相应的民事责任；</w:t>
            </w:r>
          </w:p>
          <w:p w14:paraId="767594D8">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2、意向承租方为自然人的，应当具有完全民事行为能力；</w:t>
            </w:r>
          </w:p>
          <w:p w14:paraId="0F701CE2">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3、经营资质真实有效，证照齐全；具有良好的商业信用，近3年未发生一定社会影响的经济纠纷；</w:t>
            </w:r>
          </w:p>
          <w:p w14:paraId="6986C4D5">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4、符合国家法律、行政法规规定的其他条件。</w:t>
            </w:r>
          </w:p>
        </w:tc>
      </w:tr>
      <w:tr w14:paraId="39FA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9" w:type="dxa"/>
            <w:gridSpan w:val="10"/>
            <w:vAlign w:val="center"/>
          </w:tcPr>
          <w:p w14:paraId="057D7DAE">
            <w:pPr>
              <w:spacing w:line="380" w:lineRule="exact"/>
              <w:ind w:firstLine="4200" w:firstLineChars="2000"/>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交易条件</w:t>
            </w:r>
          </w:p>
        </w:tc>
      </w:tr>
      <w:tr w14:paraId="207B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79" w:type="dxa"/>
            <w:gridSpan w:val="10"/>
            <w:vAlign w:val="center"/>
          </w:tcPr>
          <w:p w14:paraId="09B21C7E">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一、交易流程：</w:t>
            </w:r>
            <w:r>
              <w:rPr>
                <w:rFonts w:hint="eastAsia" w:ascii="微软雅黑" w:hAnsi="微软雅黑" w:eastAsia="微软雅黑" w:cs="微软雅黑"/>
                <w:color w:val="auto"/>
                <w:kern w:val="0"/>
                <w:sz w:val="21"/>
                <w:szCs w:val="21"/>
              </w:rPr>
              <w:br w:type="textWrapping"/>
            </w:r>
            <w:r>
              <w:rPr>
                <w:rFonts w:hint="eastAsia" w:ascii="微软雅黑" w:hAnsi="微软雅黑" w:eastAsia="微软雅黑" w:cs="微软雅黑"/>
                <w:color w:val="auto"/>
                <w:kern w:val="0"/>
                <w:sz w:val="21"/>
                <w:szCs w:val="21"/>
              </w:rPr>
              <w:t>1、符合资格的意向承租方须在本公告期间内按公告要求办理报名手续，并将标的资产对应的交易保证金汇入联合利国文交所指定账户。户名：联合利国文化产权交易所有限公司 账户：18046801040012152开户行：农业银行望城经开区支行，缴纳保证金的汇款人名称与意向受让方名称必须一致。如若不一致，需提交书面授权文件并签字盖章。报名和缴纳保证金应在项目公告期内完成，超过规定时间报名不予受理。</w:t>
            </w:r>
            <w:r>
              <w:rPr>
                <w:rFonts w:hint="eastAsia" w:ascii="微软雅黑" w:hAnsi="微软雅黑" w:eastAsia="微软雅黑" w:cs="微软雅黑"/>
                <w:color w:val="auto"/>
                <w:kern w:val="0"/>
                <w:sz w:val="21"/>
                <w:szCs w:val="21"/>
              </w:rPr>
              <w:br w:type="textWrapping"/>
            </w:r>
            <w:r>
              <w:rPr>
                <w:rFonts w:hint="eastAsia" w:ascii="微软雅黑" w:hAnsi="微软雅黑" w:eastAsia="微软雅黑" w:cs="微软雅黑"/>
                <w:color w:val="auto"/>
                <w:kern w:val="0"/>
                <w:sz w:val="21"/>
                <w:szCs w:val="21"/>
              </w:rPr>
              <w:t>2、意向承租方（竞租人）在竞租标的资产时，应保证以不低于挂牌价报价。</w:t>
            </w:r>
            <w:r>
              <w:rPr>
                <w:rFonts w:hint="eastAsia" w:ascii="微软雅黑" w:hAnsi="微软雅黑" w:eastAsia="微软雅黑" w:cs="微软雅黑"/>
                <w:color w:val="auto"/>
                <w:kern w:val="0"/>
                <w:sz w:val="21"/>
                <w:szCs w:val="21"/>
              </w:rPr>
              <w:br w:type="textWrapping"/>
            </w:r>
            <w:r>
              <w:rPr>
                <w:rFonts w:hint="eastAsia" w:ascii="微软雅黑" w:hAnsi="微软雅黑" w:eastAsia="微软雅黑" w:cs="微软雅黑"/>
                <w:color w:val="auto"/>
                <w:kern w:val="0"/>
                <w:sz w:val="21"/>
                <w:szCs w:val="21"/>
              </w:rPr>
              <w:t>3、本次出租标的采取</w:t>
            </w:r>
            <w:r>
              <w:rPr>
                <w:rFonts w:hint="eastAsia" w:ascii="微软雅黑" w:hAnsi="微软雅黑" w:eastAsia="微软雅黑" w:cs="微软雅黑"/>
                <w:color w:val="auto"/>
                <w:kern w:val="0"/>
                <w:sz w:val="21"/>
                <w:szCs w:val="21"/>
                <w:lang w:eastAsia="zh-CN"/>
              </w:rPr>
              <w:t>网络报价或</w:t>
            </w:r>
            <w:r>
              <w:rPr>
                <w:rFonts w:hint="eastAsia" w:ascii="微软雅黑" w:hAnsi="微软雅黑" w:eastAsia="微软雅黑" w:cs="微软雅黑"/>
                <w:color w:val="auto"/>
                <w:kern w:val="0"/>
                <w:sz w:val="21"/>
                <w:szCs w:val="21"/>
                <w:lang w:val="en-US" w:eastAsia="zh-CN"/>
              </w:rPr>
              <w:t>拍卖</w:t>
            </w:r>
            <w:r>
              <w:rPr>
                <w:rFonts w:hint="eastAsia" w:ascii="微软雅黑" w:hAnsi="微软雅黑" w:eastAsia="微软雅黑" w:cs="微软雅黑"/>
                <w:color w:val="auto"/>
                <w:kern w:val="0"/>
                <w:sz w:val="21"/>
                <w:szCs w:val="21"/>
              </w:rPr>
              <w:t>方式确定承租方，价高者得。</w:t>
            </w:r>
            <w:r>
              <w:rPr>
                <w:rFonts w:hint="eastAsia" w:ascii="微软雅黑" w:hAnsi="微软雅黑" w:eastAsia="微软雅黑" w:cs="微软雅黑"/>
                <w:color w:val="auto"/>
                <w:kern w:val="0"/>
                <w:sz w:val="21"/>
                <w:szCs w:val="21"/>
              </w:rPr>
              <w:br w:type="textWrapping"/>
            </w:r>
            <w:r>
              <w:rPr>
                <w:rFonts w:hint="eastAsia" w:ascii="微软雅黑" w:hAnsi="微软雅黑" w:eastAsia="微软雅黑" w:cs="微软雅黑"/>
                <w:color w:val="auto"/>
                <w:kern w:val="0"/>
                <w:sz w:val="21"/>
                <w:szCs w:val="21"/>
              </w:rPr>
              <w:t>4、在竞价结束后5个工作日内，出租方凭《国有资产交易事项通知书》与</w:t>
            </w:r>
            <w:r>
              <w:rPr>
                <w:rFonts w:hint="eastAsia" w:ascii="微软雅黑" w:hAnsi="微软雅黑" w:eastAsia="微软雅黑" w:cs="微软雅黑"/>
                <w:color w:val="auto"/>
                <w:kern w:val="0"/>
                <w:sz w:val="21"/>
                <w:szCs w:val="21"/>
                <w:lang w:eastAsia="zh-CN"/>
              </w:rPr>
              <w:t>承租方</w:t>
            </w:r>
            <w:r>
              <w:rPr>
                <w:rFonts w:hint="eastAsia" w:ascii="微软雅黑" w:hAnsi="微软雅黑" w:eastAsia="微软雅黑" w:cs="微软雅黑"/>
                <w:color w:val="auto"/>
                <w:kern w:val="0"/>
                <w:sz w:val="21"/>
                <w:szCs w:val="21"/>
              </w:rPr>
              <w:t>签订《租赁合同》。如承租方未在规定时间内签署前述文件，自竞价结束之日起逾期15个工作日的，出租方有权单方终止本次交易，重新挂牌，承租方交纳的交易保证金，扣除交易服务费后作为向出租方支付的违约金，不予退还。</w:t>
            </w:r>
            <w:r>
              <w:rPr>
                <w:rFonts w:hint="eastAsia" w:ascii="微软雅黑" w:hAnsi="微软雅黑" w:eastAsia="微软雅黑" w:cs="微软雅黑"/>
                <w:color w:val="auto"/>
                <w:kern w:val="0"/>
                <w:sz w:val="21"/>
                <w:szCs w:val="21"/>
              </w:rPr>
              <w:br w:type="textWrapping"/>
            </w:r>
            <w:r>
              <w:rPr>
                <w:rFonts w:hint="eastAsia" w:ascii="微软雅黑" w:hAnsi="微软雅黑" w:eastAsia="微软雅黑" w:cs="微软雅黑"/>
                <w:color w:val="auto"/>
                <w:kern w:val="0"/>
                <w:sz w:val="21"/>
                <w:szCs w:val="21"/>
              </w:rPr>
              <w:t>5、承租方在签订《租赁合同》之日起5个工作日内将首笔租金连同承租押金一次性汇入联合利国文交所指定交易结算账户，之后按租赁合同约定支付租金。</w:t>
            </w:r>
          </w:p>
          <w:p w14:paraId="7B55F6DB">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二、承租规定：</w:t>
            </w:r>
          </w:p>
          <w:p w14:paraId="05E004BD">
            <w:pPr>
              <w:spacing w:line="380" w:lineRule="exact"/>
              <w:textAlignment w:val="baseline"/>
              <w:rPr>
                <w:rFonts w:hint="eastAsia" w:ascii="微软雅黑" w:hAnsi="微软雅黑" w:eastAsia="微软雅黑" w:cs="微软雅黑"/>
                <w:color w:val="auto"/>
                <w:kern w:val="0"/>
                <w:sz w:val="21"/>
                <w:szCs w:val="21"/>
                <w:lang w:val="en-US"/>
              </w:rPr>
            </w:pPr>
            <w:r>
              <w:rPr>
                <w:rFonts w:hint="eastAsia" w:ascii="微软雅黑" w:hAnsi="微软雅黑" w:eastAsia="微软雅黑" w:cs="微软雅黑"/>
                <w:color w:val="auto"/>
                <w:kern w:val="0"/>
                <w:sz w:val="21"/>
                <w:szCs w:val="21"/>
              </w:rPr>
              <w:t>1、支付要求：</w:t>
            </w:r>
            <w:r>
              <w:rPr>
                <w:rFonts w:hint="eastAsia" w:ascii="微软雅黑" w:hAnsi="微软雅黑" w:eastAsia="微软雅黑" w:cs="微软雅黑"/>
                <w:color w:val="000000" w:themeColor="text1"/>
                <w:kern w:val="0"/>
                <w:szCs w:val="21"/>
                <w:u w:val="single"/>
                <w14:textFill>
                  <w14:solidFill>
                    <w14:schemeClr w14:val="tx1"/>
                  </w14:solidFill>
                </w14:textFill>
              </w:rPr>
              <w:t xml:space="preserve"> </w:t>
            </w:r>
            <w:r>
              <w:rPr>
                <w:rFonts w:hint="eastAsia" w:ascii="微软雅黑" w:hAnsi="微软雅黑" w:eastAsia="微软雅黑" w:cs="微软雅黑"/>
                <w:color w:val="000000" w:themeColor="text1"/>
                <w:kern w:val="0"/>
                <w:szCs w:val="21"/>
                <w:u w:val="single"/>
                <w:lang w:eastAsia="zh-CN"/>
                <w14:textFill>
                  <w14:solidFill>
                    <w14:schemeClr w14:val="tx1"/>
                  </w14:solidFill>
                </w14:textFill>
              </w:rPr>
              <w:t>租金</w:t>
            </w:r>
            <w:r>
              <w:rPr>
                <w:rFonts w:hint="eastAsia" w:ascii="微软雅黑" w:hAnsi="微软雅黑" w:eastAsia="微软雅黑" w:cs="微软雅黑"/>
                <w:color w:val="000000" w:themeColor="text1"/>
                <w:kern w:val="0"/>
                <w:szCs w:val="21"/>
                <w:u w:val="single"/>
                <w:lang w:val="en-US" w:eastAsia="zh-CN"/>
                <w14:textFill>
                  <w14:solidFill>
                    <w14:schemeClr w14:val="tx1"/>
                  </w14:solidFill>
                </w14:textFill>
              </w:rPr>
              <w:t>每季度</w:t>
            </w:r>
            <w:r>
              <w:rPr>
                <w:rFonts w:hint="eastAsia" w:ascii="微软雅黑" w:hAnsi="微软雅黑" w:eastAsia="微软雅黑" w:cs="微软雅黑"/>
                <w:color w:val="000000" w:themeColor="text1"/>
                <w:kern w:val="0"/>
                <w:szCs w:val="21"/>
                <w:u w:val="single"/>
                <w:lang w:eastAsia="zh-CN"/>
                <w14:textFill>
                  <w14:solidFill>
                    <w14:schemeClr w14:val="tx1"/>
                  </w14:solidFill>
                </w14:textFill>
              </w:rPr>
              <w:t>支付</w:t>
            </w:r>
            <w:r>
              <w:rPr>
                <w:rFonts w:hint="eastAsia" w:ascii="微软雅黑" w:hAnsi="微软雅黑" w:eastAsia="微软雅黑" w:cs="微软雅黑"/>
                <w:color w:val="auto"/>
                <w:kern w:val="0"/>
                <w:sz w:val="21"/>
                <w:szCs w:val="21"/>
                <w:u w:val="single"/>
                <w:lang w:val="en-US" w:eastAsia="zh-CN"/>
              </w:rPr>
              <w:t>。</w:t>
            </w:r>
          </w:p>
          <w:p w14:paraId="5F35DD6C">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出租方按公告要求在收到第一笔租金及履约保证金后5个工作日内与承租方办理资产交付手续。</w:t>
            </w:r>
          </w:p>
          <w:p w14:paraId="6407E883">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费用的负担: 出租标的交付前应缴纳的物业管理费、水电费等费用由出租方承担，交付后一切因承租方使用的出租物进行经营活动而产生的各种费用(包括水、电、气、电信、物业管理费、治安卫生费、市政城管费、税费等)均由承租方承担。</w:t>
            </w:r>
          </w:p>
          <w:p w14:paraId="42BBD66D">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2、承租方可根据需要对房屋进行装修，但严禁擅自改动房屋结构;租约期满或者提前解约后，按来装去丢的原则无偿移交出租方。</w:t>
            </w:r>
          </w:p>
          <w:p w14:paraId="454470C0">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3、房屋的装饰装修工程由承租方自行实施，相应费用由承租方承担。承租方在对该房屋进行装饰装修(包括再次装修)前，应按照出租方规定办妥全部施工手续，提供该房屋装修设计文件(包括装修图纸等资料)供出租方审查，在获得出租方书面批准后方可开始对该房屋进行装饰装修。上述装修设计文件经出租方批准后，未经出租方书面同意，承租方不得擅自变更。 </w:t>
            </w:r>
          </w:p>
          <w:p w14:paraId="60926F76">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4、转租的要求:承租方在房屋租赁期间未经出租方书面同意，不得将房屋进行任何形式的转租、分租、转让、转借、调换、合作经营或联营，或将该房屋及设施对外实施抵押、担保、处分等，否则出租方有权没收全部押金并无条件收回房屋。</w:t>
            </w:r>
          </w:p>
          <w:p w14:paraId="4BEA7A87">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5、承租相关其它条件以出租方、承租方最终签订的租赁合同为准，但公告中公示的内容作为租赁合同的组成部分，租赁合同内容不得与公告内容相违背。</w:t>
            </w:r>
          </w:p>
          <w:p w14:paraId="6CD50C9E">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6、标的以现状进行出租，成交后，以实际出租面积为准;若有变化，成交租金及交易服务费不作调整。</w:t>
            </w:r>
          </w:p>
        </w:tc>
      </w:tr>
      <w:tr w14:paraId="3FD1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579" w:type="dxa"/>
            <w:gridSpan w:val="10"/>
            <w:vAlign w:val="center"/>
          </w:tcPr>
          <w:p w14:paraId="377ABBC7">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交易方式</w:t>
            </w:r>
          </w:p>
        </w:tc>
      </w:tr>
      <w:tr w14:paraId="1F2F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9579" w:type="dxa"/>
            <w:gridSpan w:val="10"/>
            <w:vAlign w:val="center"/>
          </w:tcPr>
          <w:p w14:paraId="12CFAE13">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lang w:eastAsia="zh-CN"/>
              </w:rPr>
              <w:t>网络报价或</w:t>
            </w:r>
            <w:r>
              <w:rPr>
                <w:rFonts w:hint="eastAsia" w:ascii="微软雅黑" w:hAnsi="微软雅黑" w:eastAsia="微软雅黑" w:cs="微软雅黑"/>
                <w:color w:val="auto"/>
                <w:kern w:val="0"/>
                <w:sz w:val="21"/>
                <w:szCs w:val="21"/>
                <w:lang w:val="en-US" w:eastAsia="zh-CN"/>
              </w:rPr>
              <w:t>拍卖</w:t>
            </w:r>
          </w:p>
        </w:tc>
      </w:tr>
      <w:tr w14:paraId="308F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9" w:type="dxa"/>
            <w:gridSpan w:val="10"/>
            <w:vAlign w:val="center"/>
          </w:tcPr>
          <w:p w14:paraId="5ADDCA93">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交易保证金及履约保证金</w:t>
            </w:r>
          </w:p>
        </w:tc>
      </w:tr>
      <w:tr w14:paraId="623E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623" w:type="dxa"/>
            <w:gridSpan w:val="2"/>
            <w:vAlign w:val="center"/>
          </w:tcPr>
          <w:p w14:paraId="3A48AD13">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保证金金额</w:t>
            </w:r>
          </w:p>
        </w:tc>
        <w:tc>
          <w:tcPr>
            <w:tcW w:w="7956" w:type="dxa"/>
            <w:gridSpan w:val="8"/>
          </w:tcPr>
          <w:p w14:paraId="1709B1C4">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FF0000"/>
                <w:kern w:val="0"/>
                <w:sz w:val="21"/>
                <w:szCs w:val="21"/>
              </w:rPr>
              <w:t xml:space="preserve"> </w:t>
            </w:r>
            <w:r>
              <w:rPr>
                <w:rFonts w:hint="eastAsia" w:ascii="微软雅黑" w:hAnsi="微软雅黑" w:eastAsia="微软雅黑" w:cs="微软雅黑"/>
                <w:color w:val="000000" w:themeColor="text1"/>
                <w:kern w:val="0"/>
                <w:sz w:val="21"/>
                <w:szCs w:val="21"/>
                <w:u w:val="single"/>
                <w:lang w:eastAsia="zh-CN"/>
                <w14:textFill>
                  <w14:solidFill>
                    <w14:schemeClr w14:val="tx1"/>
                  </w14:solidFill>
                </w14:textFill>
              </w:rPr>
              <w:t>无</w:t>
            </w:r>
            <w:r>
              <w:rPr>
                <w:rFonts w:hint="eastAsia" w:ascii="微软雅黑" w:hAnsi="微软雅黑" w:eastAsia="微软雅黑" w:cs="微软雅黑"/>
                <w:color w:val="000000" w:themeColor="text1"/>
                <w:kern w:val="0"/>
                <w:sz w:val="21"/>
                <w:szCs w:val="21"/>
                <w14:textFill>
                  <w14:solidFill>
                    <w14:schemeClr w14:val="tx1"/>
                  </w14:solidFill>
                </w14:textFill>
              </w:rPr>
              <w:t>年</w:t>
            </w:r>
            <w:r>
              <w:rPr>
                <w:rFonts w:hint="eastAsia" w:ascii="微软雅黑" w:hAnsi="微软雅黑" w:eastAsia="微软雅黑" w:cs="微软雅黑"/>
                <w:color w:val="auto"/>
                <w:kern w:val="0"/>
                <w:sz w:val="21"/>
                <w:szCs w:val="21"/>
              </w:rPr>
              <w:t>租金按一年365天计算。</w:t>
            </w:r>
          </w:p>
        </w:tc>
      </w:tr>
      <w:tr w14:paraId="5612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23" w:type="dxa"/>
            <w:gridSpan w:val="2"/>
            <w:vAlign w:val="center"/>
          </w:tcPr>
          <w:p w14:paraId="1C0DA4A6">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交纳时间</w:t>
            </w:r>
          </w:p>
        </w:tc>
        <w:tc>
          <w:tcPr>
            <w:tcW w:w="7956" w:type="dxa"/>
            <w:gridSpan w:val="8"/>
            <w:vAlign w:val="center"/>
          </w:tcPr>
          <w:p w14:paraId="028A3865">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意向承租方在信息发布截止日17：00前交纳保证金（以到达指定账户时间为准）</w:t>
            </w:r>
          </w:p>
        </w:tc>
      </w:tr>
      <w:tr w14:paraId="6F7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623" w:type="dxa"/>
            <w:gridSpan w:val="2"/>
            <w:vAlign w:val="center"/>
          </w:tcPr>
          <w:p w14:paraId="4E405FD9">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处置方式</w:t>
            </w:r>
          </w:p>
        </w:tc>
        <w:tc>
          <w:tcPr>
            <w:tcW w:w="7956" w:type="dxa"/>
            <w:gridSpan w:val="8"/>
            <w:vAlign w:val="center"/>
          </w:tcPr>
          <w:p w14:paraId="4B7712FF">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如成为最终承租方：保证金扣除交易服务费后自动转为应缴纳租金的一部分。</w:t>
            </w:r>
          </w:p>
          <w:p w14:paraId="598F202D">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如未成为最终承租方：其交纳的保证金原路无息退回。</w:t>
            </w:r>
          </w:p>
        </w:tc>
      </w:tr>
      <w:tr w14:paraId="4080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23" w:type="dxa"/>
            <w:gridSpan w:val="2"/>
            <w:vAlign w:val="center"/>
          </w:tcPr>
          <w:p w14:paraId="61D0E375">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履约保证金</w:t>
            </w:r>
          </w:p>
        </w:tc>
        <w:tc>
          <w:tcPr>
            <w:tcW w:w="7956" w:type="dxa"/>
            <w:gridSpan w:val="8"/>
          </w:tcPr>
          <w:p w14:paraId="4A5A5465">
            <w:pPr>
              <w:spacing w:line="380" w:lineRule="exact"/>
              <w:textAlignment w:val="baseline"/>
              <w:rPr>
                <w:rFonts w:hint="eastAsia" w:ascii="微软雅黑" w:hAnsi="微软雅黑" w:eastAsia="微软雅黑" w:cs="微软雅黑"/>
                <w:color w:val="FF0000"/>
                <w:kern w:val="0"/>
                <w:sz w:val="21"/>
                <w:szCs w:val="21"/>
              </w:rPr>
            </w:pPr>
            <w:r>
              <w:rPr>
                <w:rFonts w:hint="eastAsia" w:ascii="微软雅黑" w:hAnsi="微软雅黑" w:eastAsia="微软雅黑" w:cs="微软雅黑"/>
                <w:color w:val="000000" w:themeColor="text1"/>
                <w:kern w:val="0"/>
                <w:sz w:val="21"/>
                <w:szCs w:val="21"/>
                <w14:textFill>
                  <w14:solidFill>
                    <w14:schemeClr w14:val="tx1"/>
                  </w14:solidFill>
                </w14:textFill>
              </w:rPr>
              <w:t xml:space="preserve">设定为 </w:t>
            </w:r>
            <w:r>
              <w:rPr>
                <w:rFonts w:hint="eastAsia" w:ascii="微软雅黑" w:hAnsi="微软雅黑" w:eastAsia="微软雅黑" w:cs="微软雅黑"/>
                <w:color w:val="000000" w:themeColor="text1"/>
                <w:kern w:val="0"/>
                <w:sz w:val="21"/>
                <w:szCs w:val="21"/>
                <w:u w:val="single"/>
                <w:lang w:val="en-US" w:eastAsia="zh-CN"/>
                <w14:textFill>
                  <w14:solidFill>
                    <w14:schemeClr w14:val="tx1"/>
                  </w14:solidFill>
                </w14:textFill>
              </w:rPr>
              <w:t>10000</w:t>
            </w:r>
            <w:r>
              <w:rPr>
                <w:rFonts w:hint="eastAsia" w:ascii="微软雅黑" w:hAnsi="微软雅黑" w:eastAsia="微软雅黑" w:cs="微软雅黑"/>
                <w:color w:val="000000" w:themeColor="text1"/>
                <w:kern w:val="0"/>
                <w:sz w:val="21"/>
                <w:szCs w:val="21"/>
                <w14:textFill>
                  <w14:solidFill>
                    <w14:schemeClr w14:val="tx1"/>
                  </w14:solidFill>
                </w14:textFill>
              </w:rPr>
              <w:t>元，承租期满资产无损坏全额退还。</w:t>
            </w:r>
          </w:p>
        </w:tc>
      </w:tr>
      <w:tr w14:paraId="3C83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9" w:type="dxa"/>
            <w:gridSpan w:val="10"/>
            <w:vAlign w:val="center"/>
          </w:tcPr>
          <w:p w14:paraId="62B6AE2B">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重大事项及其它披露事项</w:t>
            </w:r>
          </w:p>
        </w:tc>
      </w:tr>
      <w:tr w14:paraId="0990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579" w:type="dxa"/>
            <w:gridSpan w:val="10"/>
            <w:vAlign w:val="center"/>
          </w:tcPr>
          <w:p w14:paraId="2E35A8CE">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请填写资产是否存在权属瑕疵或担保责任、是否抵押冻结、是否存在优先购买权人等情形，若均无则填写“无”。</w:t>
            </w:r>
          </w:p>
        </w:tc>
      </w:tr>
      <w:tr w14:paraId="181E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579" w:type="dxa"/>
            <w:gridSpan w:val="10"/>
            <w:vAlign w:val="center"/>
          </w:tcPr>
          <w:p w14:paraId="62335BFD">
            <w:pPr>
              <w:spacing w:line="380" w:lineRule="exact"/>
              <w:jc w:val="center"/>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出租方委托及承诺事项</w:t>
            </w:r>
          </w:p>
        </w:tc>
      </w:tr>
      <w:tr w14:paraId="030A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579" w:type="dxa"/>
            <w:gridSpan w:val="10"/>
            <w:vAlign w:val="center"/>
          </w:tcPr>
          <w:p w14:paraId="52F6D207">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本单位将上述标的委托联合利国文化产权交易所公开挂牌出租，并承诺如下：</w:t>
            </w:r>
          </w:p>
          <w:p w14:paraId="3CDEB00F">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1、我方对该资产拥有完全的处置权，无任何限制和纠纷。 </w:t>
            </w:r>
          </w:p>
          <w:p w14:paraId="78267991">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2、我方出租资产的相关行为已履行相应程序，经过有效的决策，并获得相应批准；</w:t>
            </w:r>
          </w:p>
          <w:p w14:paraId="5B505CF2">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3、我方向贵所提交的本《资产出租挂牌申请表》及附件资料内容真实、完整、合法、有效，不存在虚假记载、误导性陈述或重大遗漏；</w:t>
            </w:r>
          </w:p>
          <w:p w14:paraId="64C4350A">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4、我方在出租资产过程中，同意遵守相关法律法规和联合利国文化产权交易所交易规则及相关细则，按照有关要求履行我方义务；</w:t>
            </w:r>
          </w:p>
          <w:p w14:paraId="47476F7D">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5、如在项目进行中出现纠纷，同意依据联合利国文化产权交易所相关规定，接受联合利国文化产权交易所作出的中止或终结项目的决定。</w:t>
            </w:r>
          </w:p>
          <w:p w14:paraId="10C43414">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如我方违反上述承诺，愿意承担全部法律和经济责任。</w:t>
            </w:r>
          </w:p>
          <w:p w14:paraId="47973FD8">
            <w:pPr>
              <w:spacing w:line="380" w:lineRule="exact"/>
              <w:textAlignment w:val="baseline"/>
              <w:rPr>
                <w:rFonts w:hint="eastAsia" w:ascii="微软雅黑" w:hAnsi="微软雅黑" w:eastAsia="微软雅黑" w:cs="微软雅黑"/>
                <w:color w:val="auto"/>
                <w:kern w:val="0"/>
                <w:sz w:val="21"/>
                <w:szCs w:val="21"/>
              </w:rPr>
            </w:pPr>
          </w:p>
          <w:p w14:paraId="4296DD51">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                                                  出租方（盖章）：</w:t>
            </w:r>
          </w:p>
          <w:p w14:paraId="516F1029">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                           </w:t>
            </w:r>
          </w:p>
          <w:p w14:paraId="3669D523">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                                                 法人代表/负责人（签字）：</w:t>
            </w:r>
          </w:p>
          <w:p w14:paraId="46E0D287">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                                       </w:t>
            </w:r>
          </w:p>
          <w:p w14:paraId="76644882">
            <w:pPr>
              <w:spacing w:line="380" w:lineRule="exact"/>
              <w:textAlignment w:val="baseline"/>
              <w:rPr>
                <w:rFonts w:hint="eastAsia" w:ascii="微软雅黑" w:hAnsi="微软雅黑" w:eastAsia="微软雅黑" w:cs="微软雅黑"/>
                <w:color w:val="auto"/>
                <w:kern w:val="0"/>
                <w:sz w:val="21"/>
                <w:szCs w:val="21"/>
              </w:rPr>
            </w:pPr>
            <w:r>
              <w:rPr>
                <w:rFonts w:hint="eastAsia" w:ascii="微软雅黑" w:hAnsi="微软雅黑" w:eastAsia="微软雅黑" w:cs="微软雅黑"/>
                <w:color w:val="auto"/>
                <w:kern w:val="0"/>
                <w:sz w:val="21"/>
                <w:szCs w:val="21"/>
              </w:rPr>
              <w:t xml:space="preserve">                                                  申请日期：   年   月   日</w:t>
            </w:r>
          </w:p>
        </w:tc>
      </w:tr>
      <w:bookmarkEnd w:id="0"/>
      <w:bookmarkEnd w:id="1"/>
    </w:tbl>
    <w:p w14:paraId="4D98E6A3">
      <w:pPr>
        <w:adjustRightInd w:val="0"/>
        <w:snapToGrid w:val="0"/>
        <w:spacing w:before="120" w:after="120" w:line="360" w:lineRule="auto"/>
        <w:rPr>
          <w:rFonts w:hint="eastAsia" w:ascii="微软雅黑" w:hAnsi="微软雅黑" w:eastAsia="微软雅黑" w:cs="微软雅黑"/>
          <w:sz w:val="21"/>
          <w:szCs w:val="21"/>
        </w:rPr>
      </w:pPr>
    </w:p>
    <w:p w14:paraId="3772FB22"/>
    <w:sectPr>
      <w:footerReference r:id="rId3" w:type="default"/>
      <w:footerReference r:id="rId4" w:type="even"/>
      <w:pgSz w:w="11906" w:h="16838"/>
      <w:pgMar w:top="851" w:right="1797" w:bottom="62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8622364"/>
    </w:sdtPr>
    <w:sdtContent>
      <w:sdt>
        <w:sdtPr>
          <w:id w:val="1728636285"/>
        </w:sdtPr>
        <w:sdtContent>
          <w:p w14:paraId="5F29F71F">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14:paraId="38E8557D">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810C">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14:paraId="1A51167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8A0081"/>
    <w:rsid w:val="073701F0"/>
    <w:rsid w:val="1184614B"/>
    <w:rsid w:val="1B8A0081"/>
    <w:rsid w:val="32963A97"/>
    <w:rsid w:val="3C385050"/>
    <w:rsid w:val="559E63C4"/>
    <w:rsid w:val="571C3A45"/>
    <w:rsid w:val="58967D73"/>
    <w:rsid w:val="69332F94"/>
    <w:rsid w:val="6D815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2325</Words>
  <Characters>2410</Characters>
  <Lines>0</Lines>
  <Paragraphs>0</Paragraphs>
  <TotalTime>29</TotalTime>
  <ScaleCrop>false</ScaleCrop>
  <LinksUpToDate>false</LinksUpToDate>
  <CharactersWithSpaces>2700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2026-08-09T02:21:00Z</dcterms:created>
  <dc:creator>张家界华天城置业陈志明</dc:creator>
  <cp:lastModifiedBy>张家界华天城置业陈志明</cp:lastModifiedBy>
  <dcterms:modified xsi:type="dcterms:W3CDTF">2026-08-26T06:27:13Z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4D7034A2C0E6477195183941938C450A_11</vt:lpwstr>
  </property>
  <property fmtid="{D5CDD505-2E9C-101B-9397-08002B2CF9AE}" pid="4" name="KSOTemplateDocerSaveRecord">
    <vt:lpwstr>eyJoZGlkIjoiZjBiYzQ1ZDU0YjhkYTYwODkzNWE3N2ZjMzZmNjJlZDMiLCJ1c2VySWQiOiI1MzYwMTM2NjkifQ==</vt:lpwstr>
  </property>
</Properties>
</file>