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1AF8FF36">
      <w:pPr>
        <w:jc w:val="center"/>
        <w:rPr>
          <w:rFonts w:ascii="方正小标宋_GBK" w:hAnsi="方正小标宋_GBK" w:eastAsia="方正小标宋_GBK" w:cs="方正小标宋_GBK"/>
          <w:b/>
          <w:sz w:val="24"/>
          <w:szCs w:val="24"/>
        </w:rPr>
      </w:pPr>
      <w:bookmarkStart w:id="0" w:name="OLE_LINK7"/>
      <w:bookmarkStart w:id="1" w:name="OLE_LINK8"/>
      <w:r>
        <w:rPr>
          <w:rFonts w:hint="eastAsia" w:ascii="方正小标宋_GBK" w:hAnsi="方正小标宋_GBK" w:eastAsia="方正小标宋_GBK" w:cs="方正小标宋_GBK"/>
          <w:b/>
          <w:sz w:val="44"/>
          <w:szCs w:val="44"/>
        </w:rPr>
        <w:t>企业国有资产出租挂牌</w:t>
      </w:r>
      <w:r>
        <w:rPr>
          <w:rFonts w:hint="eastAsia" w:ascii="方正小标宋_GBK" w:hAnsi="方正小标宋_GBK" w:eastAsia="方正小标宋_GBK" w:cs="方正小标宋_GBK"/>
          <w:b/>
          <w:sz w:val="44"/>
          <w:szCs w:val="44"/>
          <w:lang w:eastAsia="zh-TW"/>
        </w:rPr>
        <w:t>申请</w:t>
      </w:r>
      <w:r>
        <w:rPr>
          <w:rFonts w:hint="eastAsia" w:ascii="方正小标宋_GBK" w:hAnsi="方正小标宋_GBK" w:eastAsia="方正小标宋_GBK" w:cs="方正小标宋_GBK"/>
          <w:b/>
          <w:sz w:val="44"/>
          <w:szCs w:val="44"/>
        </w:rPr>
        <w:t>表</w:t>
      </w:r>
    </w:p>
    <w:tbl>
      <w:tblPr>
        <w:tblStyle w:val="7"/>
        <w:tblpPr w:leftFromText="180" w:rightFromText="180" w:vertAnchor="text" w:horzAnchor="page" w:tblpX="999" w:tblpY="576"/>
        <w:tblOverlap w:val="never"/>
        <w:tblW w:w="10094"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087"/>
        <w:gridCol w:w="51"/>
        <w:gridCol w:w="572"/>
        <w:gridCol w:w="2256"/>
        <w:gridCol w:w="193"/>
        <w:gridCol w:w="145"/>
        <w:gridCol w:w="1396"/>
        <w:gridCol w:w="751"/>
        <w:gridCol w:w="248"/>
        <w:gridCol w:w="2395"/>
      </w:tblGrid>
      <w:tr w14:paraId="23DA2E9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9" w:hRule="atLeast"/>
        </w:trPr>
        <w:tc>
          <w:tcPr>
            <w:tcW w:w="2710" w:type="dxa"/>
            <w:gridSpan w:val="3"/>
            <w:vAlign w:val="center"/>
          </w:tcPr>
          <w:p w14:paraId="2AA3580A">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出租标的名称</w:t>
            </w:r>
          </w:p>
        </w:tc>
        <w:tc>
          <w:tcPr>
            <w:tcW w:w="7384" w:type="dxa"/>
            <w:gridSpan w:val="7"/>
            <w:vAlign w:val="center"/>
          </w:tcPr>
          <w:p w14:paraId="4E4C93A1">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lang w:val="en-US" w:eastAsia="zh-CN"/>
              </w:rPr>
              <w:t>韶山游客换乘中心精品楼B018商铺</w:t>
            </w:r>
          </w:p>
        </w:tc>
      </w:tr>
      <w:tr w14:paraId="42BE37D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11" w:hRule="atLeast"/>
        </w:trPr>
        <w:tc>
          <w:tcPr>
            <w:tcW w:w="2710" w:type="dxa"/>
            <w:gridSpan w:val="3"/>
            <w:tcBorders>
              <w:bottom w:val="single" w:color="auto" w:sz="4" w:space="0"/>
            </w:tcBorders>
            <w:vAlign w:val="center"/>
          </w:tcPr>
          <w:p w14:paraId="76BB8236">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挂牌价格（元）</w:t>
            </w:r>
          </w:p>
        </w:tc>
        <w:tc>
          <w:tcPr>
            <w:tcW w:w="7384" w:type="dxa"/>
            <w:gridSpan w:val="7"/>
            <w:tcBorders>
              <w:bottom w:val="single" w:color="auto" w:sz="4" w:space="0"/>
            </w:tcBorders>
            <w:vAlign w:val="center"/>
          </w:tcPr>
          <w:p w14:paraId="23904B59">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FF0000"/>
                <w:kern w:val="0"/>
                <w:szCs w:val="21"/>
                <w:u w:val="single"/>
                <w:lang w:val="en-US" w:eastAsia="zh-CN"/>
              </w:rPr>
              <w:t>5万</w:t>
            </w:r>
            <w:r>
              <w:rPr>
                <w:rFonts w:hint="eastAsia" w:ascii="微软雅黑" w:hAnsi="微软雅黑" w:eastAsia="微软雅黑" w:cs="微软雅黑"/>
                <w:color w:val="FF0000"/>
                <w:kern w:val="0"/>
                <w:szCs w:val="21"/>
              </w:rPr>
              <w:t>元</w:t>
            </w:r>
            <w:r>
              <w:rPr>
                <w:rFonts w:hint="eastAsia" w:ascii="微软雅黑" w:hAnsi="微软雅黑" w:eastAsia="微软雅黑" w:cs="微软雅黑"/>
                <w:color w:val="FF0000"/>
                <w:kern w:val="0"/>
                <w:szCs w:val="21"/>
                <w:lang w:val="en-US" w:eastAsia="zh-CN"/>
              </w:rPr>
              <w:t>每</w:t>
            </w:r>
            <w:r>
              <w:rPr>
                <w:rFonts w:hint="eastAsia" w:ascii="微软雅黑" w:hAnsi="微软雅黑" w:eastAsia="微软雅黑" w:cs="微软雅黑"/>
                <w:color w:val="FF0000"/>
                <w:kern w:val="0"/>
                <w:szCs w:val="21"/>
              </w:rPr>
              <w:t xml:space="preserve">年  </w:t>
            </w:r>
          </w:p>
        </w:tc>
      </w:tr>
      <w:tr w14:paraId="4F88F07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27" w:hRule="atLeast"/>
        </w:trPr>
        <w:tc>
          <w:tcPr>
            <w:tcW w:w="10094" w:type="dxa"/>
            <w:gridSpan w:val="10"/>
            <w:tcBorders>
              <w:top w:val="single" w:color="auto" w:sz="4" w:space="0"/>
              <w:left w:val="single" w:color="auto" w:sz="4" w:space="0"/>
              <w:bottom w:val="single" w:color="auto" w:sz="4" w:space="0"/>
              <w:right w:val="single" w:color="auto" w:sz="4" w:space="0"/>
            </w:tcBorders>
            <w:vAlign w:val="center"/>
          </w:tcPr>
          <w:p w14:paraId="3CB16B3D">
            <w:pPr>
              <w:keepNext w:val="0"/>
              <w:keepLines w:val="0"/>
              <w:pageBreakBefore w:val="0"/>
              <w:widowControl w:val="0"/>
              <w:kinsoku/>
              <w:wordWrap/>
              <w:overflowPunct/>
              <w:topLinePunct w:val="0"/>
              <w:autoSpaceDE/>
              <w:autoSpaceDN/>
              <w:bidi w:val="0"/>
              <w:adjustRightInd/>
              <w:snapToGrid/>
              <w:spacing w:line="32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出租方基本情况</w:t>
            </w:r>
          </w:p>
        </w:tc>
      </w:tr>
      <w:tr w14:paraId="48B5929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39" w:hRule="atLeast"/>
        </w:trPr>
        <w:tc>
          <w:tcPr>
            <w:tcW w:w="2710" w:type="dxa"/>
            <w:gridSpan w:val="3"/>
            <w:tcBorders>
              <w:top w:val="single" w:color="auto" w:sz="4" w:space="0"/>
              <w:left w:val="single" w:color="auto" w:sz="4" w:space="0"/>
              <w:bottom w:val="single" w:color="auto" w:sz="4" w:space="0"/>
              <w:right w:val="single" w:color="auto" w:sz="4" w:space="0"/>
            </w:tcBorders>
            <w:vAlign w:val="center"/>
          </w:tcPr>
          <w:p w14:paraId="27657A7E">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出租方名称</w:t>
            </w:r>
          </w:p>
        </w:tc>
        <w:tc>
          <w:tcPr>
            <w:tcW w:w="7384" w:type="dxa"/>
            <w:gridSpan w:val="7"/>
            <w:tcBorders>
              <w:top w:val="single" w:color="auto" w:sz="4" w:space="0"/>
              <w:left w:val="single" w:color="auto" w:sz="4" w:space="0"/>
              <w:bottom w:val="single" w:color="auto" w:sz="4" w:space="0"/>
              <w:right w:val="single" w:color="auto" w:sz="4" w:space="0"/>
            </w:tcBorders>
            <w:vAlign w:val="center"/>
          </w:tcPr>
          <w:p w14:paraId="5E77E058">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FF0000"/>
                <w:kern w:val="0"/>
                <w:szCs w:val="21"/>
                <w:lang w:val="en-US" w:eastAsia="zh-CN"/>
              </w:rPr>
              <w:t>韶山旅游发展集团旅游服务有限公司</w:t>
            </w:r>
          </w:p>
        </w:tc>
      </w:tr>
      <w:tr w14:paraId="0181118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41" w:hRule="atLeast"/>
        </w:trPr>
        <w:tc>
          <w:tcPr>
            <w:tcW w:w="2710" w:type="dxa"/>
            <w:gridSpan w:val="3"/>
            <w:tcBorders>
              <w:top w:val="single" w:color="auto" w:sz="4" w:space="0"/>
              <w:left w:val="single" w:color="auto" w:sz="4" w:space="0"/>
              <w:bottom w:val="single" w:color="auto" w:sz="4" w:space="0"/>
              <w:right w:val="single" w:color="auto" w:sz="4" w:space="0"/>
            </w:tcBorders>
            <w:vAlign w:val="center"/>
          </w:tcPr>
          <w:p w14:paraId="7BE88707">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住所（地址）</w:t>
            </w:r>
          </w:p>
        </w:tc>
        <w:tc>
          <w:tcPr>
            <w:tcW w:w="7384" w:type="dxa"/>
            <w:gridSpan w:val="7"/>
            <w:tcBorders>
              <w:top w:val="single" w:color="auto" w:sz="4" w:space="0"/>
              <w:left w:val="single" w:color="auto" w:sz="4" w:space="0"/>
              <w:bottom w:val="single" w:color="auto" w:sz="4" w:space="0"/>
              <w:right w:val="single" w:color="auto" w:sz="4" w:space="0"/>
            </w:tcBorders>
            <w:vAlign w:val="center"/>
          </w:tcPr>
          <w:p w14:paraId="0C9D2A84">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FF0000"/>
                <w:kern w:val="0"/>
                <w:szCs w:val="21"/>
                <w:lang w:val="en-US" w:eastAsia="zh-CN"/>
              </w:rPr>
              <w:t>韶山市韶山乡韶山村（韶山旅游发展集团内）</w:t>
            </w:r>
          </w:p>
        </w:tc>
      </w:tr>
      <w:tr w14:paraId="2B542E7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48" w:hRule="atLeast"/>
        </w:trPr>
        <w:tc>
          <w:tcPr>
            <w:tcW w:w="2710" w:type="dxa"/>
            <w:gridSpan w:val="3"/>
            <w:tcBorders>
              <w:top w:val="single" w:color="auto" w:sz="4" w:space="0"/>
              <w:left w:val="single" w:color="auto" w:sz="4" w:space="0"/>
              <w:bottom w:val="single" w:color="auto" w:sz="4" w:space="0"/>
              <w:right w:val="single" w:color="auto" w:sz="4" w:space="0"/>
            </w:tcBorders>
            <w:vAlign w:val="center"/>
          </w:tcPr>
          <w:p w14:paraId="2827034C">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法定代表人/负责人</w:t>
            </w:r>
          </w:p>
        </w:tc>
        <w:tc>
          <w:tcPr>
            <w:tcW w:w="2256" w:type="dxa"/>
            <w:tcBorders>
              <w:top w:val="single" w:color="auto" w:sz="4" w:space="0"/>
              <w:left w:val="single" w:color="auto" w:sz="4" w:space="0"/>
              <w:bottom w:val="single" w:color="auto" w:sz="4" w:space="0"/>
              <w:right w:val="single" w:color="auto" w:sz="4" w:space="0"/>
            </w:tcBorders>
            <w:vAlign w:val="center"/>
          </w:tcPr>
          <w:p w14:paraId="6EF7FA2C">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FF0000"/>
                <w:kern w:val="0"/>
                <w:szCs w:val="21"/>
                <w:lang w:val="en-US" w:eastAsia="zh-CN"/>
              </w:rPr>
              <w:t>刘泽奇</w:t>
            </w:r>
          </w:p>
        </w:tc>
        <w:tc>
          <w:tcPr>
            <w:tcW w:w="1734" w:type="dxa"/>
            <w:gridSpan w:val="3"/>
            <w:tcBorders>
              <w:top w:val="single" w:color="auto" w:sz="4" w:space="0"/>
              <w:left w:val="single" w:color="auto" w:sz="4" w:space="0"/>
              <w:bottom w:val="single" w:color="auto" w:sz="4" w:space="0"/>
              <w:right w:val="single" w:color="auto" w:sz="4" w:space="0"/>
            </w:tcBorders>
            <w:vAlign w:val="center"/>
          </w:tcPr>
          <w:p w14:paraId="57BFE364">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统一社会</w:t>
            </w:r>
          </w:p>
          <w:p w14:paraId="3CA2451A">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信用代码</w:t>
            </w:r>
          </w:p>
        </w:tc>
        <w:tc>
          <w:tcPr>
            <w:tcW w:w="3394" w:type="dxa"/>
            <w:gridSpan w:val="3"/>
            <w:tcBorders>
              <w:top w:val="single" w:color="auto" w:sz="4" w:space="0"/>
              <w:left w:val="single" w:color="auto" w:sz="4" w:space="0"/>
              <w:bottom w:val="single" w:color="auto" w:sz="4" w:space="0"/>
              <w:right w:val="single" w:color="auto" w:sz="4" w:space="0"/>
            </w:tcBorders>
            <w:vAlign w:val="center"/>
          </w:tcPr>
          <w:p w14:paraId="6DB6B5E0">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auto"/>
                <w:kern w:val="0"/>
                <w:szCs w:val="21"/>
              </w:rPr>
              <w:t xml:space="preserve"> </w:t>
            </w:r>
            <w:r>
              <w:rPr>
                <w:rFonts w:hint="eastAsia" w:ascii="微软雅黑" w:hAnsi="微软雅黑" w:eastAsia="微软雅黑" w:cs="微软雅黑"/>
                <w:color w:val="FF0000"/>
                <w:kern w:val="0"/>
                <w:szCs w:val="21"/>
                <w:lang w:val="en-US" w:eastAsia="zh-CN"/>
              </w:rPr>
              <w:t xml:space="preserve"> 91430382MA4LB4HY04</w:t>
            </w:r>
          </w:p>
        </w:tc>
      </w:tr>
      <w:tr w14:paraId="5AB6CFB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50" w:hRule="atLeast"/>
        </w:trPr>
        <w:tc>
          <w:tcPr>
            <w:tcW w:w="2710" w:type="dxa"/>
            <w:gridSpan w:val="3"/>
            <w:tcBorders>
              <w:top w:val="single" w:color="auto" w:sz="4" w:space="0"/>
              <w:left w:val="single" w:color="auto" w:sz="4" w:space="0"/>
              <w:bottom w:val="single" w:color="auto" w:sz="4" w:space="0"/>
              <w:right w:val="single" w:color="auto" w:sz="4" w:space="0"/>
            </w:tcBorders>
            <w:vAlign w:val="center"/>
          </w:tcPr>
          <w:p w14:paraId="7672B571">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项目联系人</w:t>
            </w:r>
          </w:p>
        </w:tc>
        <w:tc>
          <w:tcPr>
            <w:tcW w:w="2256" w:type="dxa"/>
            <w:tcBorders>
              <w:top w:val="single" w:color="auto" w:sz="4" w:space="0"/>
              <w:left w:val="single" w:color="auto" w:sz="4" w:space="0"/>
              <w:bottom w:val="single" w:color="auto" w:sz="4" w:space="0"/>
              <w:right w:val="single" w:color="auto" w:sz="4" w:space="0"/>
            </w:tcBorders>
            <w:vAlign w:val="center"/>
          </w:tcPr>
          <w:p w14:paraId="2F8B54D9">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rPr>
              <w:t xml:space="preserve"> </w:t>
            </w:r>
            <w:r>
              <w:rPr>
                <w:rFonts w:hint="eastAsia" w:ascii="微软雅黑" w:hAnsi="微软雅黑" w:eastAsia="微软雅黑" w:cs="微软雅黑"/>
                <w:color w:val="FF0000"/>
                <w:kern w:val="0"/>
                <w:szCs w:val="21"/>
                <w:lang w:val="en-US" w:eastAsia="zh-CN"/>
              </w:rPr>
              <w:t xml:space="preserve"> 毛姣文 </w:t>
            </w:r>
          </w:p>
        </w:tc>
        <w:tc>
          <w:tcPr>
            <w:tcW w:w="1734" w:type="dxa"/>
            <w:gridSpan w:val="3"/>
            <w:tcBorders>
              <w:top w:val="single" w:color="auto" w:sz="4" w:space="0"/>
              <w:left w:val="single" w:color="auto" w:sz="4" w:space="0"/>
              <w:bottom w:val="single" w:color="auto" w:sz="4" w:space="0"/>
              <w:right w:val="single" w:color="auto" w:sz="4" w:space="0"/>
            </w:tcBorders>
            <w:vAlign w:val="center"/>
          </w:tcPr>
          <w:p w14:paraId="069173AC">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联系电话</w:t>
            </w:r>
          </w:p>
        </w:tc>
        <w:tc>
          <w:tcPr>
            <w:tcW w:w="3394" w:type="dxa"/>
            <w:gridSpan w:val="3"/>
            <w:tcBorders>
              <w:top w:val="single" w:color="auto" w:sz="4" w:space="0"/>
              <w:left w:val="single" w:color="auto" w:sz="4" w:space="0"/>
              <w:bottom w:val="single" w:color="auto" w:sz="4" w:space="0"/>
              <w:right w:val="single" w:color="auto" w:sz="4" w:space="0"/>
            </w:tcBorders>
            <w:vAlign w:val="center"/>
          </w:tcPr>
          <w:p w14:paraId="6BC2AFA9">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rPr>
              <w:t xml:space="preserve"> </w:t>
            </w:r>
            <w:r>
              <w:rPr>
                <w:rFonts w:hint="eastAsia" w:ascii="微软雅黑" w:hAnsi="微软雅黑" w:eastAsia="微软雅黑" w:cs="微软雅黑"/>
                <w:color w:val="FF0000"/>
                <w:kern w:val="0"/>
                <w:szCs w:val="21"/>
                <w:lang w:val="en-US" w:eastAsia="zh-CN"/>
              </w:rPr>
              <w:t xml:space="preserve"> 13875298439</w:t>
            </w:r>
          </w:p>
        </w:tc>
      </w:tr>
      <w:tr w14:paraId="5D7574D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2" w:hRule="atLeast"/>
        </w:trPr>
        <w:tc>
          <w:tcPr>
            <w:tcW w:w="10094" w:type="dxa"/>
            <w:gridSpan w:val="10"/>
            <w:tcBorders>
              <w:top w:val="single" w:color="auto" w:sz="4" w:space="0"/>
              <w:left w:val="single" w:color="auto" w:sz="4" w:space="0"/>
              <w:bottom w:val="single" w:color="auto" w:sz="4" w:space="0"/>
              <w:right w:val="single" w:color="auto" w:sz="4" w:space="0"/>
            </w:tcBorders>
            <w:vAlign w:val="center"/>
          </w:tcPr>
          <w:p w14:paraId="3FBE64F2">
            <w:pPr>
              <w:keepNext w:val="0"/>
              <w:keepLines w:val="0"/>
              <w:pageBreakBefore w:val="0"/>
              <w:widowControl w:val="0"/>
              <w:kinsoku/>
              <w:wordWrap/>
              <w:overflowPunct/>
              <w:topLinePunct w:val="0"/>
              <w:autoSpaceDE/>
              <w:autoSpaceDN/>
              <w:bidi w:val="0"/>
              <w:adjustRightInd/>
              <w:snapToGrid/>
              <w:spacing w:line="32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出租标的基本情况</w:t>
            </w:r>
          </w:p>
        </w:tc>
      </w:tr>
      <w:tr w14:paraId="10CB6D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20" w:hRule="atLeast"/>
        </w:trPr>
        <w:tc>
          <w:tcPr>
            <w:tcW w:w="2138" w:type="dxa"/>
            <w:gridSpan w:val="2"/>
            <w:tcBorders>
              <w:top w:val="single" w:color="auto" w:sz="4" w:space="0"/>
              <w:left w:val="single" w:color="auto" w:sz="4" w:space="0"/>
              <w:bottom w:val="single" w:color="auto" w:sz="4" w:space="0"/>
              <w:right w:val="single" w:color="auto" w:sz="4" w:space="0"/>
            </w:tcBorders>
            <w:vAlign w:val="center"/>
          </w:tcPr>
          <w:p w14:paraId="5D085894">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出租面积</w:t>
            </w:r>
          </w:p>
        </w:tc>
        <w:tc>
          <w:tcPr>
            <w:tcW w:w="3166" w:type="dxa"/>
            <w:gridSpan w:val="4"/>
            <w:tcBorders>
              <w:top w:val="single" w:color="auto" w:sz="4" w:space="0"/>
              <w:left w:val="single" w:color="auto" w:sz="4" w:space="0"/>
              <w:bottom w:val="single" w:color="auto" w:sz="4" w:space="0"/>
              <w:right w:val="single" w:color="auto" w:sz="4" w:space="0"/>
            </w:tcBorders>
            <w:vAlign w:val="center"/>
          </w:tcPr>
          <w:p w14:paraId="7E434420">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rPr>
            </w:pPr>
            <w:r>
              <w:rPr>
                <w:rFonts w:hint="eastAsia" w:ascii="微软雅黑" w:hAnsi="微软雅黑" w:eastAsia="微软雅黑" w:cs="微软雅黑"/>
                <w:color w:val="FF0000"/>
                <w:kern w:val="0"/>
                <w:szCs w:val="21"/>
                <w:lang w:val="en-US" w:eastAsia="zh-CN"/>
              </w:rPr>
              <w:t>20平方米</w:t>
            </w:r>
          </w:p>
        </w:tc>
        <w:tc>
          <w:tcPr>
            <w:tcW w:w="2395" w:type="dxa"/>
            <w:gridSpan w:val="3"/>
            <w:tcBorders>
              <w:top w:val="single" w:color="auto" w:sz="4" w:space="0"/>
              <w:left w:val="single" w:color="auto" w:sz="4" w:space="0"/>
              <w:bottom w:val="single" w:color="auto" w:sz="4" w:space="0"/>
              <w:right w:val="single" w:color="auto" w:sz="4" w:space="0"/>
            </w:tcBorders>
            <w:vAlign w:val="center"/>
          </w:tcPr>
          <w:p w14:paraId="11F63346">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坐落位置</w:t>
            </w:r>
          </w:p>
        </w:tc>
        <w:tc>
          <w:tcPr>
            <w:tcW w:w="2395" w:type="dxa"/>
            <w:tcBorders>
              <w:top w:val="single" w:color="auto" w:sz="4" w:space="0"/>
              <w:left w:val="single" w:color="auto" w:sz="4" w:space="0"/>
              <w:bottom w:val="single" w:color="auto" w:sz="4" w:space="0"/>
              <w:right w:val="single" w:color="auto" w:sz="4" w:space="0"/>
            </w:tcBorders>
            <w:vAlign w:val="center"/>
          </w:tcPr>
          <w:p w14:paraId="05F5C293">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lang w:val="en-US" w:eastAsia="zh-CN"/>
              </w:rPr>
              <w:t>韶山游客换乘中心精品楼入口咨询台旁</w:t>
            </w:r>
          </w:p>
        </w:tc>
      </w:tr>
      <w:tr w14:paraId="600BF16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70" w:hRule="atLeast"/>
        </w:trPr>
        <w:tc>
          <w:tcPr>
            <w:tcW w:w="2138" w:type="dxa"/>
            <w:gridSpan w:val="2"/>
            <w:tcBorders>
              <w:top w:val="single" w:color="auto" w:sz="4" w:space="0"/>
              <w:left w:val="single" w:color="auto" w:sz="4" w:space="0"/>
              <w:bottom w:val="single" w:color="auto" w:sz="4" w:space="0"/>
              <w:right w:val="single" w:color="auto" w:sz="4" w:space="0"/>
            </w:tcBorders>
            <w:vAlign w:val="center"/>
          </w:tcPr>
          <w:p w14:paraId="5FA515D8">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不动产权证号/房产证号</w:t>
            </w:r>
          </w:p>
        </w:tc>
        <w:tc>
          <w:tcPr>
            <w:tcW w:w="3166" w:type="dxa"/>
            <w:gridSpan w:val="4"/>
            <w:tcBorders>
              <w:top w:val="single" w:color="auto" w:sz="4" w:space="0"/>
              <w:left w:val="single" w:color="auto" w:sz="4" w:space="0"/>
              <w:bottom w:val="single" w:color="auto" w:sz="4" w:space="0"/>
              <w:right w:val="single" w:color="auto" w:sz="4" w:space="0"/>
            </w:tcBorders>
            <w:vAlign w:val="center"/>
          </w:tcPr>
          <w:p w14:paraId="12EBFBFB">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lang w:val="en-US" w:eastAsia="zh-CN"/>
              </w:rPr>
              <w:t>湘（2020）韶山市不动产第0000392号</w:t>
            </w:r>
          </w:p>
        </w:tc>
        <w:tc>
          <w:tcPr>
            <w:tcW w:w="2395" w:type="dxa"/>
            <w:gridSpan w:val="3"/>
            <w:tcBorders>
              <w:top w:val="single" w:color="auto" w:sz="4" w:space="0"/>
              <w:left w:val="single" w:color="auto" w:sz="4" w:space="0"/>
              <w:bottom w:val="single" w:color="auto" w:sz="4" w:space="0"/>
              <w:right w:val="single" w:color="auto" w:sz="4" w:space="0"/>
            </w:tcBorders>
            <w:vAlign w:val="center"/>
          </w:tcPr>
          <w:p w14:paraId="491FA485">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租赁期限</w:t>
            </w:r>
          </w:p>
        </w:tc>
        <w:tc>
          <w:tcPr>
            <w:tcW w:w="2395" w:type="dxa"/>
            <w:tcBorders>
              <w:top w:val="single" w:color="auto" w:sz="4" w:space="0"/>
              <w:left w:val="single" w:color="auto" w:sz="4" w:space="0"/>
              <w:bottom w:val="single" w:color="auto" w:sz="4" w:space="0"/>
              <w:right w:val="single" w:color="auto" w:sz="4" w:space="0"/>
            </w:tcBorders>
            <w:vAlign w:val="center"/>
          </w:tcPr>
          <w:p w14:paraId="35137D36">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lang w:val="en-US" w:eastAsia="zh-CN"/>
              </w:rPr>
              <w:t xml:space="preserve"> 1-2年</w:t>
            </w:r>
          </w:p>
        </w:tc>
      </w:tr>
      <w:tr w14:paraId="6441954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16" w:hRule="atLeast"/>
        </w:trPr>
        <w:tc>
          <w:tcPr>
            <w:tcW w:w="2138" w:type="dxa"/>
            <w:gridSpan w:val="2"/>
            <w:tcBorders>
              <w:top w:val="single" w:color="auto" w:sz="4" w:space="0"/>
              <w:left w:val="single" w:color="auto" w:sz="4" w:space="0"/>
              <w:bottom w:val="single" w:color="auto" w:sz="4" w:space="0"/>
              <w:right w:val="single" w:color="auto" w:sz="4" w:space="0"/>
            </w:tcBorders>
            <w:vAlign w:val="center"/>
          </w:tcPr>
          <w:p w14:paraId="7C536A91">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年租金及调整方式</w:t>
            </w:r>
          </w:p>
        </w:tc>
        <w:tc>
          <w:tcPr>
            <w:tcW w:w="7956" w:type="dxa"/>
            <w:gridSpan w:val="8"/>
            <w:tcBorders>
              <w:top w:val="single" w:color="auto" w:sz="4" w:space="0"/>
              <w:left w:val="single" w:color="auto" w:sz="4" w:space="0"/>
              <w:bottom w:val="single" w:color="auto" w:sz="4" w:space="0"/>
              <w:right w:val="single" w:color="auto" w:sz="4" w:space="0"/>
            </w:tcBorders>
            <w:vAlign w:val="center"/>
          </w:tcPr>
          <w:p w14:paraId="21A31F94">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lang w:val="en-US" w:eastAsia="zh-CN"/>
              </w:rPr>
              <w:t>5万元/年</w:t>
            </w:r>
          </w:p>
        </w:tc>
      </w:tr>
      <w:tr w14:paraId="5152C68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258" w:hRule="atLeast"/>
        </w:trPr>
        <w:tc>
          <w:tcPr>
            <w:tcW w:w="2138" w:type="dxa"/>
            <w:gridSpan w:val="2"/>
            <w:tcBorders>
              <w:top w:val="single" w:color="auto" w:sz="4" w:space="0"/>
              <w:left w:val="single" w:color="auto" w:sz="4" w:space="0"/>
              <w:bottom w:val="single" w:color="auto" w:sz="4" w:space="0"/>
              <w:right w:val="single" w:color="auto" w:sz="4" w:space="0"/>
            </w:tcBorders>
            <w:vAlign w:val="center"/>
          </w:tcPr>
          <w:p w14:paraId="60473E07">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资产使用用途要求</w:t>
            </w:r>
          </w:p>
        </w:tc>
        <w:tc>
          <w:tcPr>
            <w:tcW w:w="3166" w:type="dxa"/>
            <w:gridSpan w:val="4"/>
            <w:tcBorders>
              <w:top w:val="single" w:color="auto" w:sz="4" w:space="0"/>
              <w:left w:val="single" w:color="auto" w:sz="4" w:space="0"/>
              <w:bottom w:val="single" w:color="auto" w:sz="4" w:space="0"/>
              <w:right w:val="single" w:color="auto" w:sz="4" w:space="0"/>
            </w:tcBorders>
            <w:vAlign w:val="center"/>
          </w:tcPr>
          <w:p w14:paraId="2AF80CC8">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eastAsia" w:ascii="微软雅黑" w:hAnsi="微软雅黑" w:eastAsia="微软雅黑" w:cs="微软雅黑"/>
                <w:color w:val="FF0000"/>
                <w:kern w:val="0"/>
                <w:szCs w:val="21"/>
                <w:lang w:val="en-US" w:eastAsia="zh-CN"/>
              </w:rPr>
            </w:pP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FF0000"/>
                <w:kern w:val="0"/>
                <w:szCs w:val="21"/>
                <w:lang w:val="en-US" w:eastAsia="zh-CN"/>
              </w:rPr>
              <w:t>合法合规商业经营（</w:t>
            </w:r>
            <w:r>
              <w:rPr>
                <w:rFonts w:hint="eastAsia" w:ascii="微软雅黑" w:hAnsi="微软雅黑" w:eastAsia="微软雅黑" w:cs="微软雅黑"/>
                <w:color w:val="FF0000"/>
                <w:kern w:val="0"/>
                <w:sz w:val="21"/>
                <w:szCs w:val="21"/>
                <w:lang w:val="en-US" w:eastAsia="zh-CN"/>
              </w:rPr>
              <w:t>经营范围：需单一品牌形象连锁店，优先引入头部知名餐饮类、小吃类品牌的直营店或加盟店；该区域不得经营肯德基同类项目</w:t>
            </w:r>
            <w:r>
              <w:rPr>
                <w:rFonts w:hint="eastAsia" w:ascii="微软雅黑" w:hAnsi="微软雅黑" w:eastAsia="微软雅黑" w:cs="微软雅黑"/>
                <w:color w:val="FF0000"/>
                <w:kern w:val="0"/>
                <w:szCs w:val="21"/>
                <w:lang w:val="en-US" w:eastAsia="zh-CN"/>
              </w:rPr>
              <w:t xml:space="preserve"> ）。</w:t>
            </w:r>
          </w:p>
          <w:p w14:paraId="5F337E4D">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eastAsia" w:ascii="微软雅黑" w:hAnsi="微软雅黑" w:eastAsia="微软雅黑" w:cs="微软雅黑"/>
                <w:color w:val="FF0000"/>
                <w:kern w:val="0"/>
                <w:szCs w:val="21"/>
                <w:lang w:val="en-US" w:eastAsia="zh-CN"/>
              </w:rPr>
              <w:t>意向承租方须在报名前踏勘出租物业现场情况，同时签署《现场踏勘确认书》及《意向经营范围表》。</w:t>
            </w:r>
          </w:p>
        </w:tc>
        <w:tc>
          <w:tcPr>
            <w:tcW w:w="2395" w:type="dxa"/>
            <w:gridSpan w:val="3"/>
            <w:tcBorders>
              <w:top w:val="single" w:color="auto" w:sz="4" w:space="0"/>
              <w:left w:val="single" w:color="auto" w:sz="4" w:space="0"/>
              <w:bottom w:val="single" w:color="auto" w:sz="4" w:space="0"/>
              <w:right w:val="single" w:color="auto" w:sz="4" w:space="0"/>
            </w:tcBorders>
            <w:vAlign w:val="center"/>
          </w:tcPr>
          <w:p w14:paraId="56978BBD">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水、电、气、热、物业费等费用的约定</w:t>
            </w:r>
          </w:p>
        </w:tc>
        <w:tc>
          <w:tcPr>
            <w:tcW w:w="2395" w:type="dxa"/>
            <w:tcBorders>
              <w:top w:val="single" w:color="auto" w:sz="4" w:space="0"/>
              <w:left w:val="single" w:color="auto" w:sz="4" w:space="0"/>
              <w:bottom w:val="single" w:color="auto" w:sz="4" w:space="0"/>
              <w:right w:val="single" w:color="auto" w:sz="4" w:space="0"/>
            </w:tcBorders>
            <w:vAlign w:val="center"/>
          </w:tcPr>
          <w:p w14:paraId="3AA9BAB2">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r>
              <w:rPr>
                <w:rFonts w:hint="default" w:ascii="微软雅黑" w:hAnsi="微软雅黑" w:eastAsia="微软雅黑" w:cs="微软雅黑"/>
                <w:color w:val="FF0000"/>
                <w:kern w:val="0"/>
                <w:szCs w:val="21"/>
                <w:lang w:val="en-US" w:eastAsia="zh-CN"/>
              </w:rPr>
              <w:t>物业费</w:t>
            </w:r>
            <w:r>
              <w:rPr>
                <w:rFonts w:hint="eastAsia" w:ascii="微软雅黑" w:hAnsi="微软雅黑" w:eastAsia="微软雅黑" w:cs="微软雅黑"/>
                <w:color w:val="FF0000"/>
                <w:kern w:val="0"/>
                <w:szCs w:val="21"/>
                <w:lang w:val="en-US" w:eastAsia="zh-CN"/>
              </w:rPr>
              <w:t>：</w:t>
            </w:r>
            <w:r>
              <w:rPr>
                <w:rFonts w:hint="default" w:ascii="微软雅黑" w:hAnsi="微软雅黑" w:eastAsia="微软雅黑" w:cs="微软雅黑"/>
                <w:color w:val="FF0000"/>
                <w:kern w:val="0"/>
                <w:szCs w:val="21"/>
                <w:lang w:val="en-US" w:eastAsia="zh-CN"/>
              </w:rPr>
              <w:t>15元/</w:t>
            </w:r>
            <w:r>
              <w:rPr>
                <w:rFonts w:hint="eastAsia" w:ascii="宋体" w:hAnsi="宋体" w:cs="宋体"/>
                <w:color w:val="FF0000"/>
                <w:kern w:val="0"/>
                <w:szCs w:val="21"/>
              </w:rPr>
              <w:t>㎡</w:t>
            </w:r>
            <w:r>
              <w:rPr>
                <w:rFonts w:hint="default" w:ascii="微软雅黑" w:hAnsi="微软雅黑" w:eastAsia="微软雅黑" w:cs="微软雅黑"/>
                <w:color w:val="FF0000"/>
                <w:kern w:val="0"/>
                <w:szCs w:val="21"/>
                <w:lang w:val="en-US" w:eastAsia="zh-CN"/>
              </w:rPr>
              <w:t>/月；</w:t>
            </w:r>
            <w:r>
              <w:rPr>
                <w:rFonts w:hint="eastAsia" w:ascii="微软雅黑" w:hAnsi="微软雅黑" w:eastAsia="微软雅黑" w:cs="微软雅黑"/>
                <w:color w:val="FF0000"/>
                <w:kern w:val="0"/>
                <w:szCs w:val="21"/>
                <w:lang w:val="en-US" w:eastAsia="zh-CN"/>
              </w:rPr>
              <w:t>水电费：按实收取，代收代缴（</w:t>
            </w:r>
            <w:r>
              <w:rPr>
                <w:rFonts w:hint="default" w:ascii="微软雅黑" w:hAnsi="微软雅黑" w:eastAsia="微软雅黑" w:cs="微软雅黑"/>
                <w:color w:val="FF0000"/>
                <w:kern w:val="0"/>
                <w:szCs w:val="21"/>
                <w:lang w:val="en-US" w:eastAsia="zh-CN"/>
              </w:rPr>
              <w:t>电1.00元/度</w:t>
            </w:r>
            <w:r>
              <w:rPr>
                <w:rFonts w:hint="eastAsia" w:ascii="微软雅黑" w:hAnsi="微软雅黑" w:eastAsia="微软雅黑" w:cs="微软雅黑"/>
                <w:color w:val="FF0000"/>
                <w:kern w:val="0"/>
                <w:szCs w:val="21"/>
                <w:lang w:val="en-US" w:eastAsia="zh-CN"/>
              </w:rPr>
              <w:t>、</w:t>
            </w:r>
            <w:r>
              <w:rPr>
                <w:rFonts w:hint="default" w:ascii="微软雅黑" w:hAnsi="微软雅黑" w:eastAsia="微软雅黑" w:cs="微软雅黑"/>
                <w:color w:val="FF0000"/>
                <w:kern w:val="0"/>
                <w:szCs w:val="21"/>
                <w:lang w:val="en-US" w:eastAsia="zh-CN"/>
              </w:rPr>
              <w:t>水6.99元/吨</w:t>
            </w:r>
            <w:r>
              <w:rPr>
                <w:rFonts w:hint="eastAsia" w:ascii="微软雅黑" w:hAnsi="微软雅黑" w:eastAsia="微软雅黑" w:cs="微软雅黑"/>
                <w:color w:val="FF0000"/>
                <w:kern w:val="0"/>
                <w:szCs w:val="21"/>
                <w:lang w:val="en-US" w:eastAsia="zh-CN"/>
              </w:rPr>
              <w:t>）</w:t>
            </w:r>
          </w:p>
        </w:tc>
      </w:tr>
      <w:tr w14:paraId="0637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094" w:type="dxa"/>
            <w:gridSpan w:val="10"/>
            <w:tcBorders>
              <w:top w:val="single" w:color="auto" w:sz="4" w:space="0"/>
              <w:left w:val="single" w:color="auto" w:sz="2" w:space="0"/>
              <w:right w:val="single" w:color="auto" w:sz="2" w:space="0"/>
            </w:tcBorders>
            <w:vAlign w:val="center"/>
          </w:tcPr>
          <w:p w14:paraId="03974BDA">
            <w:pPr>
              <w:keepNext w:val="0"/>
              <w:keepLines w:val="0"/>
              <w:pageBreakBefore w:val="0"/>
              <w:widowControl w:val="0"/>
              <w:kinsoku/>
              <w:wordWrap/>
              <w:overflowPunct/>
              <w:topLinePunct w:val="0"/>
              <w:autoSpaceDE/>
              <w:autoSpaceDN/>
              <w:bidi w:val="0"/>
              <w:adjustRightInd/>
              <w:snapToGrid/>
              <w:spacing w:line="320" w:lineRule="exact"/>
              <w:jc w:val="both"/>
              <w:textAlignment w:val="baseline"/>
              <w:rPr>
                <w:rFonts w:hint="eastAsia" w:ascii="微软雅黑" w:hAnsi="微软雅黑" w:eastAsia="微软雅黑" w:cs="微软雅黑"/>
                <w:color w:val="auto"/>
                <w:kern w:val="0"/>
                <w:szCs w:val="21"/>
              </w:rPr>
            </w:pPr>
            <w:r>
              <w:rPr>
                <w:rFonts w:hint="eastAsia" w:ascii="微软雅黑" w:hAnsi="微软雅黑" w:eastAsia="微软雅黑" w:cs="微软雅黑"/>
                <w:color w:val="000000" w:themeColor="text1"/>
                <w:kern w:val="0"/>
                <w:szCs w:val="21"/>
                <w:lang w:val="en-US" w:eastAsia="zh-CN"/>
                <w14:textFill>
                  <w14:solidFill>
                    <w14:schemeClr w14:val="tx1"/>
                  </w14:solidFill>
                </w14:textFill>
              </w:rPr>
              <w:t>备注：</w:t>
            </w:r>
            <w:r>
              <w:rPr>
                <w:rFonts w:hint="eastAsia" w:ascii="微软雅黑" w:hAnsi="微软雅黑" w:eastAsia="微软雅黑" w:cs="微软雅黑"/>
                <w:color w:val="FF0000"/>
                <w:kern w:val="0"/>
                <w:szCs w:val="21"/>
                <w:lang w:val="en-US" w:eastAsia="zh-CN"/>
              </w:rPr>
              <w:t>该铺面现租期至2026年9月11日到期</w:t>
            </w:r>
          </w:p>
        </w:tc>
      </w:tr>
      <w:tr w14:paraId="4E81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0094" w:type="dxa"/>
            <w:gridSpan w:val="10"/>
            <w:tcBorders>
              <w:top w:val="single" w:color="auto" w:sz="4" w:space="0"/>
              <w:left w:val="single" w:color="auto" w:sz="2" w:space="0"/>
              <w:right w:val="single" w:color="auto" w:sz="2" w:space="0"/>
            </w:tcBorders>
            <w:vAlign w:val="center"/>
          </w:tcPr>
          <w:p w14:paraId="04C21776">
            <w:pPr>
              <w:keepNext w:val="0"/>
              <w:keepLines w:val="0"/>
              <w:pageBreakBefore w:val="0"/>
              <w:widowControl w:val="0"/>
              <w:kinsoku/>
              <w:wordWrap/>
              <w:overflowPunct/>
              <w:topLinePunct w:val="0"/>
              <w:autoSpaceDE/>
              <w:autoSpaceDN/>
              <w:bidi w:val="0"/>
              <w:adjustRightInd/>
              <w:snapToGrid/>
              <w:spacing w:line="32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出租行为批准（备案）及资产评估情况</w:t>
            </w:r>
          </w:p>
        </w:tc>
      </w:tr>
      <w:tr w14:paraId="7E261D5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95" w:hRule="atLeast"/>
        </w:trPr>
        <w:tc>
          <w:tcPr>
            <w:tcW w:w="2087" w:type="dxa"/>
            <w:tcBorders>
              <w:top w:val="single" w:color="auto" w:sz="2" w:space="0"/>
              <w:left w:val="single" w:color="auto" w:sz="2" w:space="0"/>
              <w:bottom w:val="single" w:color="auto" w:sz="2" w:space="0"/>
              <w:right w:val="single" w:color="auto" w:sz="2" w:space="0"/>
            </w:tcBorders>
            <w:vAlign w:val="center"/>
          </w:tcPr>
          <w:p w14:paraId="5371D271">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批准（备案）单位</w:t>
            </w:r>
          </w:p>
        </w:tc>
        <w:tc>
          <w:tcPr>
            <w:tcW w:w="3072" w:type="dxa"/>
            <w:gridSpan w:val="4"/>
            <w:tcBorders>
              <w:top w:val="single" w:color="auto" w:sz="2" w:space="0"/>
              <w:left w:val="single" w:color="auto" w:sz="2" w:space="0"/>
              <w:bottom w:val="single" w:color="auto" w:sz="2" w:space="0"/>
              <w:right w:val="single" w:color="auto" w:sz="2" w:space="0"/>
            </w:tcBorders>
            <w:vAlign w:val="center"/>
          </w:tcPr>
          <w:p w14:paraId="2DFA504E">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eastAsia" w:ascii="微软雅黑" w:hAnsi="微软雅黑" w:eastAsia="微软雅黑" w:cs="微软雅黑"/>
                <w:color w:val="auto"/>
                <w:kern w:val="0"/>
                <w:szCs w:val="21"/>
                <w:lang w:eastAsia="zh-CN"/>
              </w:rPr>
            </w:pPr>
            <w:r>
              <w:rPr>
                <w:rFonts w:hint="eastAsia" w:ascii="微软雅黑" w:hAnsi="微软雅黑" w:eastAsia="微软雅黑" w:cs="微软雅黑"/>
                <w:color w:val="FF0000"/>
                <w:kern w:val="0"/>
                <w:szCs w:val="21"/>
                <w:lang w:val="en-US" w:eastAsia="zh-CN"/>
              </w:rPr>
              <w:t xml:space="preserve"> 韶山旅游发展集团旅游服务有限公司</w:t>
            </w:r>
          </w:p>
        </w:tc>
        <w:tc>
          <w:tcPr>
            <w:tcW w:w="2292" w:type="dxa"/>
            <w:gridSpan w:val="3"/>
            <w:tcBorders>
              <w:top w:val="single" w:color="auto" w:sz="2" w:space="0"/>
              <w:left w:val="single" w:color="auto" w:sz="2" w:space="0"/>
              <w:bottom w:val="single" w:color="auto" w:sz="2" w:space="0"/>
              <w:right w:val="single" w:color="auto" w:sz="2" w:space="0"/>
            </w:tcBorders>
            <w:vAlign w:val="center"/>
          </w:tcPr>
          <w:p w14:paraId="1E1E7DF1">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批准（备案）文号</w:t>
            </w:r>
          </w:p>
        </w:tc>
        <w:tc>
          <w:tcPr>
            <w:tcW w:w="2643" w:type="dxa"/>
            <w:gridSpan w:val="2"/>
            <w:tcBorders>
              <w:top w:val="single" w:color="auto" w:sz="2" w:space="0"/>
              <w:left w:val="single" w:color="auto" w:sz="2" w:space="0"/>
              <w:bottom w:val="single" w:color="auto" w:sz="2" w:space="0"/>
              <w:right w:val="single" w:color="auto" w:sz="2" w:space="0"/>
            </w:tcBorders>
            <w:vAlign w:val="center"/>
          </w:tcPr>
          <w:p w14:paraId="3ED7F47F">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eastAsia" w:ascii="微软雅黑" w:hAnsi="微软雅黑" w:eastAsia="微软雅黑" w:cs="微软雅黑"/>
                <w:color w:val="auto"/>
                <w:kern w:val="0"/>
                <w:szCs w:val="21"/>
                <w:lang w:eastAsia="zh-CN"/>
              </w:rPr>
            </w:pP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FF0000"/>
                <w:kern w:val="0"/>
                <w:sz w:val="21"/>
                <w:szCs w:val="21"/>
                <w:lang w:val="en-US" w:eastAsia="zh-CN"/>
              </w:rPr>
              <w:t>中共韶山旅游发展集团旅游服务有限公司支部委员会会议纪要2026年第20 次</w:t>
            </w:r>
          </w:p>
        </w:tc>
      </w:tr>
      <w:tr w14:paraId="51FAFA5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95" w:hRule="atLeast"/>
        </w:trPr>
        <w:tc>
          <w:tcPr>
            <w:tcW w:w="2087" w:type="dxa"/>
            <w:tcBorders>
              <w:top w:val="single" w:color="auto" w:sz="2" w:space="0"/>
              <w:left w:val="single" w:color="auto" w:sz="2" w:space="0"/>
              <w:bottom w:val="single" w:color="auto" w:sz="2" w:space="0"/>
              <w:right w:val="single" w:color="auto" w:sz="2" w:space="0"/>
            </w:tcBorders>
            <w:vAlign w:val="center"/>
          </w:tcPr>
          <w:p w14:paraId="23EDDAB9">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资产出租定价方式</w:t>
            </w:r>
          </w:p>
        </w:tc>
        <w:tc>
          <w:tcPr>
            <w:tcW w:w="3072" w:type="dxa"/>
            <w:gridSpan w:val="4"/>
            <w:tcBorders>
              <w:top w:val="single" w:color="auto" w:sz="2" w:space="0"/>
              <w:left w:val="single" w:color="auto" w:sz="2" w:space="0"/>
              <w:bottom w:val="single" w:color="auto" w:sz="2" w:space="0"/>
              <w:right w:val="single" w:color="auto" w:sz="2" w:space="0"/>
            </w:tcBorders>
            <w:vAlign w:val="center"/>
          </w:tcPr>
          <w:p w14:paraId="13344D0F">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sym w:font="Wingdings 2" w:char="0052"/>
            </w:r>
            <w:r>
              <w:rPr>
                <w:rFonts w:hint="eastAsia" w:ascii="微软雅黑" w:hAnsi="微软雅黑" w:eastAsia="微软雅黑" w:cs="微软雅黑"/>
                <w:color w:val="auto"/>
                <w:kern w:val="0"/>
                <w:szCs w:val="21"/>
              </w:rPr>
              <w:t xml:space="preserve"> 资产评估 </w:t>
            </w:r>
            <w:r>
              <w:rPr>
                <w:rFonts w:hint="eastAsia" w:ascii="微软雅黑" w:hAnsi="微软雅黑" w:eastAsia="微软雅黑" w:cs="微软雅黑"/>
                <w:color w:val="auto"/>
                <w:kern w:val="0"/>
                <w:szCs w:val="21"/>
              </w:rPr>
              <w:sym w:font="Wingdings 2" w:char="00A3"/>
            </w:r>
            <w:r>
              <w:rPr>
                <w:rFonts w:hint="eastAsia" w:ascii="微软雅黑" w:hAnsi="微软雅黑" w:eastAsia="微软雅黑" w:cs="微软雅黑"/>
                <w:color w:val="auto"/>
                <w:kern w:val="0"/>
                <w:szCs w:val="21"/>
              </w:rPr>
              <w:t xml:space="preserve"> 市场询价</w:t>
            </w:r>
          </w:p>
        </w:tc>
        <w:tc>
          <w:tcPr>
            <w:tcW w:w="2292" w:type="dxa"/>
            <w:gridSpan w:val="3"/>
            <w:tcBorders>
              <w:top w:val="single" w:color="auto" w:sz="2" w:space="0"/>
              <w:left w:val="single" w:color="auto" w:sz="2" w:space="0"/>
              <w:bottom w:val="single" w:color="auto" w:sz="2" w:space="0"/>
              <w:right w:val="single" w:color="auto" w:sz="2" w:space="0"/>
            </w:tcBorders>
            <w:vAlign w:val="center"/>
          </w:tcPr>
          <w:p w14:paraId="433EA481">
            <w:pPr>
              <w:keepNext w:val="0"/>
              <w:keepLines w:val="0"/>
              <w:pageBreakBefore w:val="0"/>
              <w:widowControl w:val="0"/>
              <w:kinsoku/>
              <w:wordWrap/>
              <w:overflowPunct/>
              <w:topLinePunct w:val="0"/>
              <w:autoSpaceDE/>
              <w:autoSpaceDN/>
              <w:bidi w:val="0"/>
              <w:adjustRightInd/>
              <w:snapToGrid/>
              <w:spacing w:line="32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sym w:font="Wingdings 2" w:char="0052"/>
            </w:r>
            <w:r>
              <w:rPr>
                <w:rFonts w:hint="eastAsia" w:ascii="微软雅黑" w:hAnsi="微软雅黑" w:eastAsia="微软雅黑" w:cs="微软雅黑"/>
                <w:color w:val="auto"/>
                <w:kern w:val="0"/>
                <w:szCs w:val="21"/>
              </w:rPr>
              <w:t xml:space="preserve">评估值 </w:t>
            </w:r>
            <w:r>
              <w:rPr>
                <w:rFonts w:ascii="微软雅黑" w:hAnsi="微软雅黑" w:eastAsia="微软雅黑" w:cs="微软雅黑"/>
                <w:color w:val="auto"/>
                <w:kern w:val="0"/>
                <w:szCs w:val="21"/>
              </w:rPr>
              <w:t xml:space="preserve"> </w:t>
            </w:r>
            <w:r>
              <w:rPr>
                <w:rFonts w:hint="eastAsia" w:ascii="微软雅黑" w:hAnsi="微软雅黑" w:eastAsia="微软雅黑" w:cs="微软雅黑"/>
                <w:color w:val="auto"/>
                <w:kern w:val="0"/>
                <w:szCs w:val="21"/>
              </w:rPr>
              <w:sym w:font="Wingdings 2" w:char="00A3"/>
            </w:r>
            <w:r>
              <w:rPr>
                <w:rFonts w:hint="eastAsia" w:ascii="微软雅黑" w:hAnsi="微软雅黑" w:eastAsia="微软雅黑" w:cs="微软雅黑"/>
                <w:color w:val="auto"/>
                <w:kern w:val="0"/>
                <w:szCs w:val="21"/>
              </w:rPr>
              <w:t>询价结果</w:t>
            </w:r>
          </w:p>
        </w:tc>
        <w:tc>
          <w:tcPr>
            <w:tcW w:w="2643" w:type="dxa"/>
            <w:gridSpan w:val="2"/>
            <w:tcBorders>
              <w:top w:val="single" w:color="auto" w:sz="2" w:space="0"/>
              <w:left w:val="single" w:color="auto" w:sz="2" w:space="0"/>
              <w:bottom w:val="single" w:color="auto" w:sz="2" w:space="0"/>
              <w:right w:val="single" w:color="auto" w:sz="2" w:space="0"/>
            </w:tcBorders>
            <w:vAlign w:val="center"/>
          </w:tcPr>
          <w:p w14:paraId="05B44F57">
            <w:pPr>
              <w:keepNext w:val="0"/>
              <w:keepLines w:val="0"/>
              <w:pageBreakBefore w:val="0"/>
              <w:widowControl w:val="0"/>
              <w:kinsoku/>
              <w:wordWrap/>
              <w:overflowPunct/>
              <w:topLinePunct w:val="0"/>
              <w:autoSpaceDE/>
              <w:autoSpaceDN/>
              <w:bidi w:val="0"/>
              <w:adjustRightInd/>
              <w:snapToGrid/>
              <w:spacing w:line="320" w:lineRule="exact"/>
              <w:textAlignment w:val="baseline"/>
              <w:rPr>
                <w:rFonts w:hint="default" w:ascii="微软雅黑" w:hAnsi="微软雅黑" w:eastAsia="微软雅黑" w:cs="微软雅黑"/>
                <w:color w:val="auto"/>
                <w:kern w:val="0"/>
                <w:szCs w:val="21"/>
                <w:lang w:val="en-US" w:eastAsia="zh-CN"/>
              </w:rPr>
            </w:pPr>
            <w:bookmarkStart w:id="2" w:name="_GoBack"/>
            <w:bookmarkEnd w:id="2"/>
          </w:p>
        </w:tc>
      </w:tr>
      <w:tr w14:paraId="15CF2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0094" w:type="dxa"/>
            <w:gridSpan w:val="10"/>
            <w:vAlign w:val="center"/>
          </w:tcPr>
          <w:p w14:paraId="3ABB5016">
            <w:pPr>
              <w:keepNext w:val="0"/>
              <w:keepLines w:val="0"/>
              <w:pageBreakBefore w:val="0"/>
              <w:widowControl w:val="0"/>
              <w:kinsoku/>
              <w:wordWrap/>
              <w:overflowPunct/>
              <w:topLinePunct w:val="0"/>
              <w:autoSpaceDE/>
              <w:autoSpaceDN/>
              <w:bidi w:val="0"/>
              <w:adjustRightInd/>
              <w:snapToGrid/>
              <w:spacing w:line="32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挂牌公告期</w:t>
            </w:r>
          </w:p>
        </w:tc>
      </w:tr>
      <w:tr w14:paraId="3176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0094" w:type="dxa"/>
            <w:gridSpan w:val="10"/>
            <w:vAlign w:val="center"/>
          </w:tcPr>
          <w:p w14:paraId="698F809D">
            <w:pPr>
              <w:spacing w:line="380" w:lineRule="exact"/>
              <w:textAlignment w:val="baseline"/>
              <w:rPr>
                <w:rFonts w:ascii="微软雅黑" w:hAnsi="微软雅黑" w:eastAsia="微软雅黑" w:cs="微软雅黑"/>
                <w:color w:val="000000" w:themeColor="text1"/>
                <w:kern w:val="0"/>
                <w:szCs w:val="21"/>
                <w:u w:val="thick"/>
                <w14:textFill>
                  <w14:solidFill>
                    <w14:schemeClr w14:val="tx1"/>
                  </w14:solidFill>
                </w14:textFill>
              </w:rPr>
            </w:pPr>
            <w:r>
              <w:rPr>
                <w:rFonts w:hint="eastAsia" w:ascii="微软雅黑" w:hAnsi="微软雅黑" w:eastAsia="微软雅黑" w:cs="微软雅黑"/>
                <w:color w:val="auto"/>
                <w:kern w:val="0"/>
                <w:szCs w:val="21"/>
              </w:rPr>
              <w:t>挂牌公告期：自公告之日起</w:t>
            </w:r>
            <w:r>
              <w:rPr>
                <w:rFonts w:hint="eastAsia" w:ascii="微软雅黑" w:hAnsi="微软雅黑" w:eastAsia="微软雅黑" w:cs="微软雅黑"/>
                <w:color w:val="auto"/>
                <w:kern w:val="0"/>
                <w:szCs w:val="21"/>
                <w:u w:val="thick"/>
                <w:lang w:val="en-US" w:eastAsia="zh-CN"/>
              </w:rPr>
              <w:t xml:space="preserve"> </w:t>
            </w:r>
            <w:r>
              <w:rPr>
                <w:rFonts w:hint="eastAsia" w:ascii="微软雅黑" w:hAnsi="微软雅黑" w:eastAsia="微软雅黑" w:cs="微软雅黑"/>
                <w:color w:val="000000" w:themeColor="text1"/>
                <w:kern w:val="0"/>
                <w:szCs w:val="21"/>
                <w:u w:val="thick"/>
                <w:lang w:val="en-US" w:eastAsia="zh-CN"/>
                <w14:textFill>
                  <w14:solidFill>
                    <w14:schemeClr w14:val="tx1"/>
                  </w14:solidFill>
                </w14:textFill>
              </w:rPr>
              <w:t>5</w:t>
            </w:r>
            <w:r>
              <w:rPr>
                <w:rFonts w:hint="eastAsia" w:ascii="微软雅黑" w:hAnsi="微软雅黑" w:eastAsia="微软雅黑" w:cs="微软雅黑"/>
                <w:color w:val="000000" w:themeColor="text1"/>
                <w:kern w:val="0"/>
                <w:szCs w:val="21"/>
                <w:u w:val="thick"/>
                <w14:textFill>
                  <w14:solidFill>
                    <w14:schemeClr w14:val="tx1"/>
                  </w14:solidFill>
                </w14:textFill>
              </w:rPr>
              <w:t>个工作日</w:t>
            </w:r>
          </w:p>
          <w:p w14:paraId="71BA65C1">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1、挂牌价格低于100万元的资产，挂牌期不少于</w:t>
            </w:r>
            <w:r>
              <w:rPr>
                <w:rFonts w:hint="eastAsia" w:ascii="微软雅黑" w:hAnsi="微软雅黑" w:eastAsia="微软雅黑" w:cs="微软雅黑"/>
                <w:color w:val="auto"/>
                <w:kern w:val="0"/>
                <w:szCs w:val="21"/>
                <w:lang w:val="en-US" w:eastAsia="zh-CN"/>
              </w:rPr>
              <w:t xml:space="preserve"> 5</w:t>
            </w:r>
            <w:r>
              <w:rPr>
                <w:rFonts w:hint="eastAsia" w:ascii="微软雅黑" w:hAnsi="微软雅黑" w:eastAsia="微软雅黑" w:cs="微软雅黑"/>
                <w:color w:val="auto"/>
                <w:kern w:val="0"/>
                <w:szCs w:val="21"/>
              </w:rPr>
              <w:t>个工作日；</w:t>
            </w:r>
          </w:p>
          <w:p w14:paraId="14E07CC1">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2、挂牌底价等于或高于100万元、低于1000万元的项目，挂牌期不少于10个工作日；</w:t>
            </w:r>
          </w:p>
          <w:p w14:paraId="63B10846">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3、挂牌底价等于或高于1000万元的项目，挂牌期不少于20个工作日。</w:t>
            </w:r>
          </w:p>
        </w:tc>
      </w:tr>
      <w:tr w14:paraId="37FB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0094" w:type="dxa"/>
            <w:gridSpan w:val="10"/>
            <w:vAlign w:val="center"/>
          </w:tcPr>
          <w:p w14:paraId="6F289D8C">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挂牌期满，如未征集到意向承租方，则：    </w:t>
            </w:r>
          </w:p>
          <w:p w14:paraId="417115E4">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lang w:eastAsia="zh-CN"/>
              </w:rPr>
              <w:t>☑</w:t>
            </w:r>
            <w:r>
              <w:rPr>
                <w:rFonts w:hint="eastAsia" w:ascii="微软雅黑" w:hAnsi="微软雅黑" w:eastAsia="微软雅黑" w:cs="微软雅黑"/>
                <w:color w:val="auto"/>
                <w:kern w:val="0"/>
                <w:szCs w:val="21"/>
              </w:rPr>
              <w:t>不变更挂牌条件，按照</w:t>
            </w:r>
            <w:r>
              <w:rPr>
                <w:rFonts w:hint="eastAsia" w:ascii="微软雅黑" w:hAnsi="微软雅黑" w:eastAsia="微软雅黑" w:cs="微软雅黑"/>
                <w:color w:val="auto"/>
                <w:kern w:val="0"/>
                <w:szCs w:val="21"/>
                <w:u w:val="thick"/>
                <w:lang w:val="en-US" w:eastAsia="zh-CN"/>
              </w:rPr>
              <w:t xml:space="preserve"> </w:t>
            </w:r>
            <w:r>
              <w:rPr>
                <w:rFonts w:hint="eastAsia" w:ascii="微软雅黑" w:hAnsi="微软雅黑" w:eastAsia="微软雅黑" w:cs="微软雅黑"/>
                <w:color w:val="000000" w:themeColor="text1"/>
                <w:kern w:val="0"/>
                <w:szCs w:val="21"/>
                <w:u w:val="thick"/>
                <w14:textFill>
                  <w14:solidFill>
                    <w14:schemeClr w14:val="tx1"/>
                  </w14:solidFill>
                </w14:textFill>
              </w:rPr>
              <w:t>5</w:t>
            </w:r>
            <w:r>
              <w:rPr>
                <w:rFonts w:hint="eastAsia" w:ascii="微软雅黑" w:hAnsi="微软雅黑" w:eastAsia="微软雅黑" w:cs="微软雅黑"/>
                <w:color w:val="auto"/>
                <w:kern w:val="0"/>
                <w:szCs w:val="21"/>
                <w:u w:val="thick"/>
              </w:rPr>
              <w:t>个工作日</w:t>
            </w:r>
            <w:r>
              <w:rPr>
                <w:rFonts w:hint="eastAsia" w:ascii="微软雅黑" w:hAnsi="微软雅黑" w:eastAsia="微软雅黑" w:cs="微软雅黑"/>
                <w:color w:val="auto"/>
                <w:kern w:val="0"/>
                <w:szCs w:val="21"/>
              </w:rPr>
              <w:t>为一个延长周期，最多顺延</w:t>
            </w:r>
            <w:r>
              <w:rPr>
                <w:rFonts w:hint="eastAsia" w:ascii="微软雅黑" w:hAnsi="微软雅黑" w:eastAsia="微软雅黑" w:cs="微软雅黑"/>
                <w:color w:val="000000" w:themeColor="text1"/>
                <w:kern w:val="0"/>
                <w:szCs w:val="21"/>
                <w:u w:val="thick"/>
                <w:lang w:val="en-US" w:eastAsia="zh-CN"/>
                <w14:textFill>
                  <w14:solidFill>
                    <w14:schemeClr w14:val="tx1"/>
                  </w14:solidFill>
                </w14:textFill>
              </w:rPr>
              <w:t>30</w:t>
            </w:r>
            <w:r>
              <w:rPr>
                <w:rFonts w:hint="eastAsia" w:ascii="微软雅黑" w:hAnsi="微软雅黑" w:eastAsia="微软雅黑" w:cs="微软雅黑"/>
                <w:color w:val="000000" w:themeColor="text1"/>
                <w:kern w:val="0"/>
                <w:szCs w:val="21"/>
                <w:u w:val="thick"/>
                <w14:textFill>
                  <w14:solidFill>
                    <w14:schemeClr w14:val="tx1"/>
                  </w14:solidFill>
                </w14:textFill>
              </w:rPr>
              <w:t>个周期</w:t>
            </w:r>
            <w:r>
              <w:rPr>
                <w:rFonts w:hint="eastAsia" w:ascii="微软雅黑" w:hAnsi="微软雅黑" w:eastAsia="微软雅黑" w:cs="微软雅黑"/>
                <w:color w:val="auto"/>
                <w:kern w:val="0"/>
                <w:szCs w:val="21"/>
              </w:rPr>
              <w:t>。</w:t>
            </w:r>
          </w:p>
          <w:p w14:paraId="3A7E835D">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变更挂牌条件，待重新办理挂牌手续后再次挂牌。</w:t>
            </w:r>
          </w:p>
          <w:p w14:paraId="123895C9">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撤牌。</w:t>
            </w:r>
          </w:p>
          <w:p w14:paraId="5AECDA4F">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其他：另行协商。</w:t>
            </w:r>
          </w:p>
        </w:tc>
      </w:tr>
      <w:tr w14:paraId="45CC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0094" w:type="dxa"/>
            <w:gridSpan w:val="10"/>
            <w:vAlign w:val="center"/>
          </w:tcPr>
          <w:p w14:paraId="2E527E4B">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意向承租方资格条件</w:t>
            </w:r>
          </w:p>
        </w:tc>
      </w:tr>
      <w:tr w14:paraId="7243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10094" w:type="dxa"/>
            <w:gridSpan w:val="10"/>
            <w:vAlign w:val="center"/>
          </w:tcPr>
          <w:p w14:paraId="03DB28BA">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1、意向承租方为依法注册且有效存续的法人或非法人组织的，应能承担相应的民事责任；</w:t>
            </w:r>
          </w:p>
          <w:p w14:paraId="767594D8">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2、意向承租方为自然人的，应当具有完全民事行为能力；</w:t>
            </w:r>
          </w:p>
          <w:p w14:paraId="0F701CE2">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3、经营资质真实有效，证照齐全；具有良好的商业信用，近3年未发生一定社会影响的经济纠纷；</w:t>
            </w:r>
          </w:p>
          <w:p w14:paraId="6986C4D5">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4、符合国家法律、行政法规规定的其他条件。</w:t>
            </w:r>
          </w:p>
        </w:tc>
      </w:tr>
      <w:tr w14:paraId="39FA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0094" w:type="dxa"/>
            <w:gridSpan w:val="10"/>
            <w:vAlign w:val="center"/>
          </w:tcPr>
          <w:p w14:paraId="057D7DAE">
            <w:pPr>
              <w:spacing w:line="380" w:lineRule="exact"/>
              <w:ind w:firstLine="4200" w:firstLineChars="2000"/>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交易条件</w:t>
            </w:r>
          </w:p>
        </w:tc>
      </w:tr>
      <w:tr w14:paraId="207B7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0094" w:type="dxa"/>
            <w:gridSpan w:val="10"/>
            <w:vAlign w:val="center"/>
          </w:tcPr>
          <w:p w14:paraId="09B21C7E">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一、交易流程：</w:t>
            </w:r>
            <w:r>
              <w:rPr>
                <w:rFonts w:hint="eastAsia" w:ascii="微软雅黑" w:hAnsi="微软雅黑" w:eastAsia="微软雅黑" w:cs="微软雅黑"/>
                <w:color w:val="auto"/>
                <w:kern w:val="0"/>
                <w:szCs w:val="21"/>
              </w:rPr>
              <w:br w:type="textWrapping"/>
            </w:r>
            <w:r>
              <w:rPr>
                <w:rFonts w:hint="eastAsia" w:ascii="微软雅黑" w:hAnsi="微软雅黑" w:eastAsia="微软雅黑" w:cs="微软雅黑"/>
                <w:color w:val="auto"/>
                <w:kern w:val="0"/>
                <w:szCs w:val="21"/>
              </w:rPr>
              <w:t>1、符合资格的意向承租方须在本公告期间内按公告要求办理报名手续，并将标的资产对应的交易保证金汇入联合利国文交所指定账户。户名：联合利国文化产权交易所有限公司 账户：18046801040012152开户行：农业银行望城经开区支行，缴纳保证金的汇款人名称与意向受让方名称必须一致。如若不一致，需提交书面授权文件并签字盖章。报名和缴纳保证金应在项目公告期内完成，超过规定时间报名不予受理。</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2</w:t>
            </w:r>
            <w:r>
              <w:rPr>
                <w:rFonts w:hint="eastAsia" w:ascii="微软雅黑" w:hAnsi="微软雅黑" w:eastAsia="微软雅黑" w:cs="微软雅黑"/>
                <w:color w:val="auto"/>
                <w:kern w:val="0"/>
                <w:szCs w:val="21"/>
              </w:rPr>
              <w:t>、意向承租方（竞租人）在竞租标的资产时，应保证以不低于挂牌价报价。</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3</w:t>
            </w:r>
            <w:r>
              <w:rPr>
                <w:rFonts w:hint="eastAsia" w:ascii="微软雅黑" w:hAnsi="微软雅黑" w:eastAsia="微软雅黑" w:cs="微软雅黑"/>
                <w:color w:val="auto"/>
                <w:kern w:val="0"/>
                <w:szCs w:val="21"/>
              </w:rPr>
              <w:t>、本次出租标的采取</w:t>
            </w:r>
            <w:r>
              <w:rPr>
                <w:rFonts w:hint="eastAsia" w:ascii="微软雅黑" w:hAnsi="微软雅黑" w:eastAsia="微软雅黑" w:cs="微软雅黑"/>
                <w:color w:val="auto"/>
                <w:kern w:val="0"/>
                <w:szCs w:val="21"/>
                <w:lang w:eastAsia="zh-CN"/>
              </w:rPr>
              <w:t>网络报价或</w:t>
            </w:r>
            <w:r>
              <w:rPr>
                <w:rFonts w:hint="eastAsia" w:ascii="微软雅黑" w:hAnsi="微软雅黑" w:eastAsia="微软雅黑" w:cs="微软雅黑"/>
                <w:color w:val="auto"/>
                <w:kern w:val="0"/>
                <w:szCs w:val="21"/>
                <w:lang w:val="en-US" w:eastAsia="zh-CN"/>
              </w:rPr>
              <w:t>拍卖</w:t>
            </w:r>
            <w:r>
              <w:rPr>
                <w:rFonts w:hint="eastAsia" w:ascii="微软雅黑" w:hAnsi="微软雅黑" w:eastAsia="微软雅黑" w:cs="微软雅黑"/>
                <w:color w:val="auto"/>
                <w:kern w:val="0"/>
                <w:szCs w:val="21"/>
              </w:rPr>
              <w:t>方式确定承租方，价高者得。</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4</w:t>
            </w:r>
            <w:r>
              <w:rPr>
                <w:rFonts w:hint="eastAsia" w:ascii="微软雅黑" w:hAnsi="微软雅黑" w:eastAsia="微软雅黑" w:cs="微软雅黑"/>
                <w:color w:val="auto"/>
                <w:kern w:val="0"/>
                <w:szCs w:val="21"/>
              </w:rPr>
              <w:t>、在竞价结束后</w:t>
            </w:r>
            <w:r>
              <w:rPr>
                <w:rFonts w:hint="eastAsia" w:ascii="微软雅黑" w:hAnsi="微软雅黑" w:eastAsia="微软雅黑" w:cs="微软雅黑"/>
                <w:color w:val="auto"/>
                <w:kern w:val="0"/>
                <w:szCs w:val="21"/>
                <w:u w:val="thick"/>
                <w:lang w:val="en-US" w:eastAsia="zh-CN"/>
              </w:rPr>
              <w:t>10</w:t>
            </w:r>
            <w:r>
              <w:rPr>
                <w:rFonts w:hint="eastAsia" w:ascii="微软雅黑" w:hAnsi="微软雅黑" w:eastAsia="微软雅黑" w:cs="微软雅黑"/>
                <w:color w:val="auto"/>
                <w:kern w:val="0"/>
                <w:szCs w:val="21"/>
                <w:u w:val="thick"/>
              </w:rPr>
              <w:t>个工作日内</w:t>
            </w:r>
            <w:r>
              <w:rPr>
                <w:rFonts w:hint="eastAsia" w:ascii="微软雅黑" w:hAnsi="微软雅黑" w:eastAsia="微软雅黑" w:cs="微软雅黑"/>
                <w:color w:val="auto"/>
                <w:kern w:val="0"/>
                <w:szCs w:val="21"/>
              </w:rPr>
              <w:t>，出租方凭《国有资产交易事项通知书》与</w:t>
            </w:r>
            <w:r>
              <w:rPr>
                <w:rFonts w:hint="eastAsia" w:ascii="微软雅黑" w:hAnsi="微软雅黑" w:eastAsia="微软雅黑" w:cs="微软雅黑"/>
                <w:color w:val="auto"/>
                <w:kern w:val="0"/>
                <w:szCs w:val="21"/>
                <w:lang w:eastAsia="zh-CN"/>
              </w:rPr>
              <w:t>承租方</w:t>
            </w:r>
            <w:r>
              <w:rPr>
                <w:rFonts w:hint="eastAsia" w:ascii="微软雅黑" w:hAnsi="微软雅黑" w:eastAsia="微软雅黑" w:cs="微软雅黑"/>
                <w:color w:val="auto"/>
                <w:kern w:val="0"/>
                <w:szCs w:val="21"/>
              </w:rPr>
              <w:t>签订《租赁合同》。如承租方未在规定时间内签署前述文件，自竞价结束之日起逾期15个工作日的，出租方有权单方终止本次交易，重新挂牌，承租方交纳的交易保证金，扣除交易服务费后作为向出租方支付的违约金，不予退还。</w:t>
            </w:r>
            <w:r>
              <w:rPr>
                <w:rFonts w:hint="eastAsia" w:ascii="微软雅黑" w:hAnsi="微软雅黑" w:eastAsia="微软雅黑" w:cs="微软雅黑"/>
                <w:color w:val="auto"/>
                <w:kern w:val="0"/>
                <w:szCs w:val="21"/>
              </w:rPr>
              <w:br w:type="textWrapping"/>
            </w:r>
            <w:r>
              <w:rPr>
                <w:rFonts w:ascii="微软雅黑" w:hAnsi="微软雅黑" w:eastAsia="微软雅黑" w:cs="微软雅黑"/>
                <w:color w:val="auto"/>
                <w:kern w:val="0"/>
                <w:szCs w:val="21"/>
              </w:rPr>
              <w:t>5</w:t>
            </w:r>
            <w:r>
              <w:rPr>
                <w:rFonts w:hint="eastAsia" w:ascii="微软雅黑" w:hAnsi="微软雅黑" w:eastAsia="微软雅黑" w:cs="微软雅黑"/>
                <w:color w:val="auto"/>
                <w:kern w:val="0"/>
                <w:szCs w:val="21"/>
              </w:rPr>
              <w:t>、承租方在签订《租赁合同》之日起</w:t>
            </w:r>
            <w:r>
              <w:rPr>
                <w:rFonts w:hint="eastAsia" w:ascii="微软雅黑" w:hAnsi="微软雅黑" w:eastAsia="微软雅黑" w:cs="微软雅黑"/>
                <w:color w:val="auto"/>
                <w:kern w:val="0"/>
                <w:szCs w:val="21"/>
                <w:lang w:val="en-US" w:eastAsia="zh-CN"/>
              </w:rPr>
              <w:t>7</w:t>
            </w:r>
            <w:r>
              <w:rPr>
                <w:rFonts w:hint="eastAsia" w:ascii="微软雅黑" w:hAnsi="微软雅黑" w:eastAsia="微软雅黑" w:cs="微软雅黑"/>
                <w:color w:val="auto"/>
                <w:kern w:val="0"/>
                <w:szCs w:val="21"/>
              </w:rPr>
              <w:t>个工作日内将首笔租金连同承租押金一次性汇入联合利国文交所指定交易结算账户，之后按租赁合同约定支付租金。</w:t>
            </w:r>
          </w:p>
          <w:p w14:paraId="7B55F6DB">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二、承租规定：</w:t>
            </w:r>
          </w:p>
          <w:p w14:paraId="05E004BD">
            <w:pPr>
              <w:spacing w:line="380" w:lineRule="exact"/>
              <w:textAlignment w:val="baseline"/>
              <w:rPr>
                <w:rFonts w:hint="default" w:ascii="微软雅黑" w:hAnsi="微软雅黑" w:eastAsia="微软雅黑" w:cs="微软雅黑"/>
                <w:color w:val="auto"/>
                <w:kern w:val="0"/>
                <w:szCs w:val="21"/>
                <w:lang w:val="en-US"/>
              </w:rPr>
            </w:pPr>
            <w:r>
              <w:rPr>
                <w:rFonts w:hint="eastAsia" w:ascii="微软雅黑" w:hAnsi="微软雅黑" w:eastAsia="微软雅黑" w:cs="微软雅黑"/>
                <w:color w:val="auto"/>
                <w:kern w:val="0"/>
                <w:szCs w:val="21"/>
              </w:rPr>
              <w:t>1、支付要求：</w:t>
            </w:r>
            <w:r>
              <w:rPr>
                <w:rFonts w:hint="eastAsia" w:ascii="微软雅黑" w:hAnsi="微软雅黑" w:eastAsia="微软雅黑" w:cs="微软雅黑"/>
                <w:color w:val="auto"/>
                <w:kern w:val="0"/>
                <w:szCs w:val="21"/>
                <w:u w:val="none"/>
              </w:rPr>
              <w:t>本次出租</w:t>
            </w:r>
            <w:r>
              <w:rPr>
                <w:rFonts w:hint="eastAsia" w:ascii="微软雅黑" w:hAnsi="微软雅黑" w:eastAsia="微软雅黑" w:cs="微软雅黑"/>
                <w:color w:val="auto"/>
                <w:kern w:val="0"/>
                <w:szCs w:val="21"/>
                <w:u w:val="none"/>
                <w:lang w:val="en-US" w:eastAsia="zh-CN"/>
              </w:rPr>
              <w:t xml:space="preserve"> </w:t>
            </w:r>
            <w:r>
              <w:rPr>
                <w:rFonts w:hint="eastAsia" w:ascii="微软雅黑" w:hAnsi="微软雅黑" w:eastAsia="微软雅黑" w:cs="微软雅黑"/>
                <w:color w:val="auto"/>
                <w:kern w:val="0"/>
                <w:szCs w:val="21"/>
                <w:u w:val="thick"/>
                <w:lang w:val="en-US" w:eastAsia="zh-CN"/>
              </w:rPr>
              <w:t>年度一次性支付</w:t>
            </w:r>
            <w:r>
              <w:rPr>
                <w:rFonts w:hint="eastAsia" w:ascii="微软雅黑" w:hAnsi="微软雅黑" w:eastAsia="微软雅黑" w:cs="微软雅黑"/>
                <w:color w:val="auto"/>
                <w:kern w:val="0"/>
                <w:szCs w:val="21"/>
                <w:u w:val="none"/>
                <w:lang w:val="en-US" w:eastAsia="zh-CN"/>
              </w:rPr>
              <w:t>。</w:t>
            </w:r>
          </w:p>
          <w:p w14:paraId="5F35DD6C">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出租方按公告要求在收到第一笔租金及履约保证金后5个工作日内与承租方办理资产交付手续。</w:t>
            </w:r>
          </w:p>
          <w:p w14:paraId="6407E883">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费用的负担: 出租标的交付前应缴纳的物业管理费、水电费等费用由出租方承担，交付后一切因承租方使用的出租物进行经营活动而产生的各种费用(包括水、电、气、电信、物业管理费、治安卫生费、市政城管费、税费等)均由承租方承担。</w:t>
            </w:r>
          </w:p>
          <w:p w14:paraId="42BBD66D">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2</w:t>
            </w:r>
            <w:r>
              <w:rPr>
                <w:rFonts w:hint="eastAsia" w:ascii="微软雅黑" w:hAnsi="微软雅黑" w:eastAsia="微软雅黑" w:cs="微软雅黑"/>
                <w:color w:val="auto"/>
                <w:kern w:val="0"/>
                <w:szCs w:val="21"/>
              </w:rPr>
              <w:t>、承租方可根据需要对房屋进行装修，但严禁擅自改动房屋结构;租约期满或者提前解约后，按来装去丢的原则无偿移交出租方。</w:t>
            </w:r>
          </w:p>
          <w:p w14:paraId="454470C0">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3</w:t>
            </w:r>
            <w:r>
              <w:rPr>
                <w:rFonts w:hint="eastAsia" w:ascii="微软雅黑" w:hAnsi="微软雅黑" w:eastAsia="微软雅黑" w:cs="微软雅黑"/>
                <w:color w:val="auto"/>
                <w:kern w:val="0"/>
                <w:szCs w:val="21"/>
              </w:rPr>
              <w:t xml:space="preserve">、房屋的装饰装修工程由承租方自行实施，相应费用由承租方承担。承租方在对该房屋进行装饰装修(包括再次装修)前，应按照出租方规定办妥全部施工手续，提供该房屋装修设计文件(包括装修图纸等资料)供出租方审查，在获得出租方书面批准后方可开始对该房屋进行装饰装修。上述装修设计文件经出租方批准后，未经出租方书面同意，承租方不得擅自变更。 </w:t>
            </w:r>
          </w:p>
          <w:p w14:paraId="60926F76">
            <w:pPr>
              <w:spacing w:line="380" w:lineRule="exact"/>
              <w:textAlignment w:val="baseline"/>
              <w:rPr>
                <w:rFonts w:hint="eastAsia" w:ascii="微软雅黑" w:hAnsi="微软雅黑" w:eastAsia="微软雅黑" w:cs="微软雅黑"/>
                <w:color w:val="auto"/>
                <w:kern w:val="0"/>
                <w:szCs w:val="21"/>
              </w:rPr>
            </w:pPr>
            <w:r>
              <w:rPr>
                <w:rFonts w:ascii="微软雅黑" w:hAnsi="微软雅黑" w:eastAsia="微软雅黑" w:cs="微软雅黑"/>
                <w:color w:val="auto"/>
                <w:kern w:val="0"/>
                <w:szCs w:val="21"/>
              </w:rPr>
              <w:t>4</w:t>
            </w:r>
            <w:r>
              <w:rPr>
                <w:rFonts w:hint="eastAsia" w:ascii="微软雅黑" w:hAnsi="微软雅黑" w:eastAsia="微软雅黑" w:cs="微软雅黑"/>
                <w:color w:val="auto"/>
                <w:kern w:val="0"/>
                <w:szCs w:val="21"/>
              </w:rPr>
              <w:t>、转租的要求:承租方在房屋租赁期间未经出租方书面同意，不得将房屋进行任何形式的转租、分租、转让、转借、调换、合作经营或联营，或将该房屋及设施对外实施抵押、担保、处分等，否则出租方有权没收全部押金并无条件收回房屋。</w:t>
            </w:r>
          </w:p>
          <w:p w14:paraId="4BEA7A87">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5</w:t>
            </w:r>
            <w:r>
              <w:rPr>
                <w:rFonts w:hint="eastAsia" w:ascii="微软雅黑" w:hAnsi="微软雅黑" w:eastAsia="微软雅黑" w:cs="微软雅黑"/>
                <w:color w:val="auto"/>
                <w:kern w:val="0"/>
                <w:szCs w:val="21"/>
              </w:rPr>
              <w:t>、承租相关其它条件以出租方、承租方最终签订的租赁合同为准，但公告中公示的内容作为租赁合同的组成部分，租赁合同内容不得与公告内容相违背。</w:t>
            </w:r>
          </w:p>
          <w:p w14:paraId="6CD50C9E">
            <w:pPr>
              <w:spacing w:line="380" w:lineRule="exact"/>
              <w:textAlignment w:val="baseline"/>
              <w:rPr>
                <w:rFonts w:ascii="微软雅黑" w:hAnsi="微软雅黑" w:eastAsia="微软雅黑" w:cs="微软雅黑"/>
                <w:color w:val="auto"/>
                <w:kern w:val="0"/>
                <w:szCs w:val="21"/>
              </w:rPr>
            </w:pPr>
            <w:r>
              <w:rPr>
                <w:rFonts w:ascii="微软雅黑" w:hAnsi="微软雅黑" w:eastAsia="微软雅黑" w:cs="微软雅黑"/>
                <w:color w:val="auto"/>
                <w:kern w:val="0"/>
                <w:szCs w:val="21"/>
              </w:rPr>
              <w:t>6</w:t>
            </w:r>
            <w:r>
              <w:rPr>
                <w:rFonts w:hint="eastAsia" w:ascii="微软雅黑" w:hAnsi="微软雅黑" w:eastAsia="微软雅黑" w:cs="微软雅黑"/>
                <w:color w:val="auto"/>
                <w:kern w:val="0"/>
                <w:szCs w:val="21"/>
              </w:rPr>
              <w:t>、标的以现状进行出租，成交后，以实际出租面积为准;若有变化，成交租金及交易服务费不作调整。</w:t>
            </w:r>
          </w:p>
        </w:tc>
      </w:tr>
      <w:tr w14:paraId="3FD1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094" w:type="dxa"/>
            <w:gridSpan w:val="10"/>
            <w:vAlign w:val="center"/>
          </w:tcPr>
          <w:p w14:paraId="377ABBC7">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交易方式</w:t>
            </w:r>
          </w:p>
        </w:tc>
      </w:tr>
      <w:tr w14:paraId="1F2F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0094" w:type="dxa"/>
            <w:gridSpan w:val="10"/>
            <w:vAlign w:val="center"/>
          </w:tcPr>
          <w:p w14:paraId="12CFAE13">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lang w:eastAsia="zh-CN"/>
              </w:rPr>
              <w:t>网络报价或</w:t>
            </w:r>
            <w:r>
              <w:rPr>
                <w:rFonts w:hint="eastAsia" w:ascii="微软雅黑" w:hAnsi="微软雅黑" w:eastAsia="微软雅黑" w:cs="微软雅黑"/>
                <w:color w:val="auto"/>
                <w:kern w:val="0"/>
                <w:szCs w:val="21"/>
                <w:lang w:val="en-US" w:eastAsia="zh-CN"/>
              </w:rPr>
              <w:t>拍卖</w:t>
            </w:r>
          </w:p>
        </w:tc>
      </w:tr>
      <w:tr w14:paraId="308F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0094" w:type="dxa"/>
            <w:gridSpan w:val="10"/>
            <w:vAlign w:val="center"/>
          </w:tcPr>
          <w:p w14:paraId="5ADDCA93">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交易保证金及履约保证金</w:t>
            </w:r>
          </w:p>
        </w:tc>
      </w:tr>
      <w:tr w14:paraId="623E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2138" w:type="dxa"/>
            <w:gridSpan w:val="2"/>
            <w:vAlign w:val="center"/>
          </w:tcPr>
          <w:p w14:paraId="3A48AD13">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保证金金额</w:t>
            </w:r>
          </w:p>
        </w:tc>
        <w:tc>
          <w:tcPr>
            <w:tcW w:w="7956" w:type="dxa"/>
            <w:gridSpan w:val="8"/>
          </w:tcPr>
          <w:p w14:paraId="1709B1C4">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u w:val="thick"/>
              </w:rPr>
              <w:t xml:space="preserve"> 年租金的</w:t>
            </w:r>
            <w:r>
              <w:rPr>
                <w:rFonts w:hint="eastAsia" w:ascii="微软雅黑" w:hAnsi="微软雅黑" w:eastAsia="微软雅黑" w:cs="微软雅黑"/>
                <w:color w:val="auto"/>
                <w:kern w:val="0"/>
                <w:szCs w:val="21"/>
                <w:u w:val="thick"/>
                <w:lang w:val="en-US" w:eastAsia="zh-CN"/>
              </w:rPr>
              <w:t>10</w:t>
            </w:r>
            <w:r>
              <w:rPr>
                <w:rFonts w:hint="eastAsia" w:ascii="微软雅黑" w:hAnsi="微软雅黑" w:eastAsia="微软雅黑" w:cs="微软雅黑"/>
                <w:color w:val="auto"/>
                <w:kern w:val="0"/>
                <w:szCs w:val="21"/>
                <w:u w:val="thick"/>
              </w:rPr>
              <w:t>%,</w:t>
            </w:r>
            <w:r>
              <w:rPr>
                <w:rFonts w:hint="eastAsia" w:ascii="微软雅黑" w:hAnsi="微软雅黑" w:eastAsia="微软雅黑" w:cs="微软雅黑"/>
                <w:color w:val="auto"/>
                <w:kern w:val="0"/>
                <w:szCs w:val="21"/>
                <w:u w:val="thick"/>
                <w:lang w:eastAsia="zh-CN"/>
              </w:rPr>
              <w:t>即</w:t>
            </w:r>
            <w:r>
              <w:rPr>
                <w:rFonts w:hint="eastAsia" w:ascii="微软雅黑" w:hAnsi="微软雅黑" w:eastAsia="微软雅黑" w:cs="微软雅黑"/>
                <w:color w:val="auto"/>
                <w:kern w:val="0"/>
                <w:szCs w:val="21"/>
                <w:u w:val="thick"/>
                <w:lang w:val="en-US" w:eastAsia="zh-CN"/>
              </w:rPr>
              <w:t>0.5万元</w:t>
            </w:r>
            <w:r>
              <w:rPr>
                <w:rFonts w:hint="eastAsia" w:ascii="微软雅黑" w:hAnsi="微软雅黑" w:eastAsia="微软雅黑" w:cs="微软雅黑"/>
                <w:color w:val="auto"/>
                <w:kern w:val="0"/>
                <w:szCs w:val="21"/>
                <w:u w:val="none"/>
                <w:lang w:val="en-US" w:eastAsia="zh-CN"/>
              </w:rPr>
              <w:t>。</w:t>
            </w:r>
            <w:r>
              <w:rPr>
                <w:rFonts w:hint="eastAsia" w:ascii="微软雅黑" w:hAnsi="微软雅黑" w:eastAsia="微软雅黑" w:cs="微软雅黑"/>
                <w:color w:val="auto"/>
                <w:kern w:val="0"/>
                <w:szCs w:val="21"/>
              </w:rPr>
              <w:t>年租金按一年365天计算。</w:t>
            </w:r>
          </w:p>
        </w:tc>
      </w:tr>
      <w:tr w14:paraId="56122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2138" w:type="dxa"/>
            <w:gridSpan w:val="2"/>
            <w:vAlign w:val="center"/>
          </w:tcPr>
          <w:p w14:paraId="1C0DA4A6">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交纳时间</w:t>
            </w:r>
          </w:p>
        </w:tc>
        <w:tc>
          <w:tcPr>
            <w:tcW w:w="7956" w:type="dxa"/>
            <w:gridSpan w:val="8"/>
            <w:vAlign w:val="center"/>
          </w:tcPr>
          <w:p w14:paraId="028A3865">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意向承租方在信息发布截止日17：00前交纳保证金（以到达指定账户时间为准）</w:t>
            </w:r>
          </w:p>
        </w:tc>
      </w:tr>
      <w:tr w14:paraId="6F75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2138" w:type="dxa"/>
            <w:gridSpan w:val="2"/>
            <w:vAlign w:val="center"/>
          </w:tcPr>
          <w:p w14:paraId="4E405FD9">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处置方式</w:t>
            </w:r>
          </w:p>
        </w:tc>
        <w:tc>
          <w:tcPr>
            <w:tcW w:w="7956" w:type="dxa"/>
            <w:gridSpan w:val="8"/>
            <w:vAlign w:val="center"/>
          </w:tcPr>
          <w:p w14:paraId="4B7712FF">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如成为最终承租方：保证金扣除交易服务费后自动转为应缴纳租金的一部分。</w:t>
            </w:r>
          </w:p>
          <w:p w14:paraId="598F202D">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如未成为最终承租方：其交纳的保证金原路无息退回。</w:t>
            </w:r>
          </w:p>
        </w:tc>
      </w:tr>
      <w:tr w14:paraId="4080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2138" w:type="dxa"/>
            <w:gridSpan w:val="2"/>
            <w:vAlign w:val="center"/>
          </w:tcPr>
          <w:p w14:paraId="61D0E375">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履约保证金</w:t>
            </w:r>
          </w:p>
        </w:tc>
        <w:tc>
          <w:tcPr>
            <w:tcW w:w="7956" w:type="dxa"/>
            <w:gridSpan w:val="8"/>
          </w:tcPr>
          <w:p w14:paraId="4A5A5465">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履约保证金设定为三个月租金，具体金额以正式合同约定为准；承租期满，租期满无违约行为、资产无损坏全额无息退还，原租户履约保证金按原合同条款执行。</w:t>
            </w:r>
          </w:p>
        </w:tc>
      </w:tr>
      <w:tr w14:paraId="3C83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094" w:type="dxa"/>
            <w:gridSpan w:val="10"/>
            <w:vAlign w:val="center"/>
          </w:tcPr>
          <w:p w14:paraId="62B6AE2B">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重大事项及其它披露事项</w:t>
            </w:r>
          </w:p>
        </w:tc>
      </w:tr>
      <w:tr w14:paraId="0990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0094" w:type="dxa"/>
            <w:gridSpan w:val="10"/>
            <w:vAlign w:val="center"/>
          </w:tcPr>
          <w:p w14:paraId="2E35A8CE">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请填写资产是否存在权属瑕疵或担保责任、是否抵押冻结、是否存在优先购买权人等情形，若均无则填写“无”。</w:t>
            </w:r>
          </w:p>
        </w:tc>
      </w:tr>
      <w:tr w14:paraId="181E1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0094" w:type="dxa"/>
            <w:gridSpan w:val="10"/>
            <w:vAlign w:val="center"/>
          </w:tcPr>
          <w:p w14:paraId="62335BFD">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出租方委托及承诺事项</w:t>
            </w:r>
          </w:p>
        </w:tc>
      </w:tr>
      <w:tr w14:paraId="030A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1" w:hRule="atLeast"/>
        </w:trPr>
        <w:tc>
          <w:tcPr>
            <w:tcW w:w="10094" w:type="dxa"/>
            <w:gridSpan w:val="10"/>
            <w:vAlign w:val="center"/>
          </w:tcPr>
          <w:p w14:paraId="52F6D207">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本单位将上述标的委托联合利国文化产权交易所公开挂牌出租，并承诺如下：</w:t>
            </w:r>
          </w:p>
          <w:p w14:paraId="3CDEB00F">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1、我方对该资产拥有完全的处置权，无任何限制和纠纷。 </w:t>
            </w:r>
          </w:p>
          <w:p w14:paraId="78267991">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2、我方出租资产的相关行为已履行相应程序，经过有效的决策，并获得相应批准；</w:t>
            </w:r>
          </w:p>
          <w:p w14:paraId="5B505CF2">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3、我方向贵所提交的本《资产出租挂牌申请表》及附件资料内容真实、完整、合法、有效，不存在虚假记载、误导性陈述或重大遗漏；</w:t>
            </w:r>
          </w:p>
          <w:p w14:paraId="64C4350A">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4、我方在出租资产过程中，同意遵守相关法律法规和联合利国文化产权交易所交易规则及相关细则，按照有关要求履行我方义务；</w:t>
            </w:r>
          </w:p>
          <w:p w14:paraId="47476F7D">
            <w:pPr>
              <w:spacing w:line="380" w:lineRule="exact"/>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5、如在项目进行中出现纠纷，同意依据联合利国文化产权交易所相关规定，接受联合利国文化产权交易所作出的中止或终结项目的决定。</w:t>
            </w:r>
          </w:p>
          <w:p w14:paraId="674F7F17">
            <w:pPr>
              <w:spacing w:line="380" w:lineRule="exact"/>
              <w:textAlignment w:val="baseline"/>
              <w:rPr>
                <w:rFonts w:hint="eastAsia" w:ascii="微软雅黑" w:hAnsi="微软雅黑" w:eastAsia="微软雅黑" w:cs="微软雅黑"/>
                <w:color w:val="auto"/>
                <w:kern w:val="0"/>
                <w:szCs w:val="21"/>
              </w:rPr>
            </w:pPr>
            <w:r>
              <w:rPr>
                <w:rFonts w:hint="eastAsia" w:ascii="微软雅黑" w:hAnsi="微软雅黑" w:eastAsia="微软雅黑" w:cs="微软雅黑"/>
                <w:color w:val="auto"/>
                <w:kern w:val="0"/>
                <w:szCs w:val="21"/>
              </w:rPr>
              <w:t xml:space="preserve">如我方违反上述承诺，愿意承担全部法律和经济责任。   </w:t>
            </w:r>
          </w:p>
          <w:p w14:paraId="2F89F098">
            <w:pPr>
              <w:spacing w:line="380" w:lineRule="exact"/>
              <w:jc w:val="center"/>
              <w:textAlignment w:val="baseline"/>
              <w:rPr>
                <w:rFonts w:hint="eastAsia" w:ascii="微软雅黑" w:hAnsi="微软雅黑" w:eastAsia="微软雅黑" w:cs="微软雅黑"/>
                <w:color w:val="auto"/>
                <w:kern w:val="0"/>
                <w:szCs w:val="21"/>
              </w:rPr>
            </w:pP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auto"/>
                <w:kern w:val="0"/>
                <w:szCs w:val="21"/>
              </w:rPr>
              <w:t xml:space="preserve"> 出租方（盖章）：                                              </w:t>
            </w:r>
          </w:p>
          <w:p w14:paraId="46E0D287">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auto"/>
                <w:kern w:val="0"/>
                <w:szCs w:val="21"/>
              </w:rPr>
              <w:t xml:space="preserve">法人代表/负责人（签字）：                                       </w:t>
            </w:r>
          </w:p>
          <w:p w14:paraId="76644882">
            <w:pPr>
              <w:spacing w:line="380" w:lineRule="exact"/>
              <w:jc w:val="center"/>
              <w:textAlignment w:val="baseline"/>
              <w:rPr>
                <w:rFonts w:ascii="微软雅黑" w:hAnsi="微软雅黑" w:eastAsia="微软雅黑" w:cs="微软雅黑"/>
                <w:color w:val="auto"/>
                <w:kern w:val="0"/>
                <w:szCs w:val="21"/>
              </w:rPr>
            </w:pPr>
            <w:r>
              <w:rPr>
                <w:rFonts w:hint="eastAsia" w:ascii="微软雅黑" w:hAnsi="微软雅黑" w:eastAsia="微软雅黑" w:cs="微软雅黑"/>
                <w:color w:val="auto"/>
                <w:kern w:val="0"/>
                <w:szCs w:val="21"/>
                <w:lang w:val="en-US" w:eastAsia="zh-CN"/>
              </w:rPr>
              <w:t xml:space="preserve">     </w:t>
            </w:r>
            <w:r>
              <w:rPr>
                <w:rFonts w:hint="eastAsia" w:ascii="微软雅黑" w:hAnsi="微软雅黑" w:eastAsia="微软雅黑" w:cs="微软雅黑"/>
                <w:color w:val="auto"/>
                <w:kern w:val="0"/>
                <w:szCs w:val="21"/>
              </w:rPr>
              <w:t>申请日期：   年   月   日</w:t>
            </w:r>
          </w:p>
        </w:tc>
      </w:tr>
      <w:bookmarkEnd w:id="0"/>
      <w:bookmarkEnd w:id="1"/>
    </w:tbl>
    <w:p w14:paraId="4D98E6A3">
      <w:pPr>
        <w:adjustRightInd w:val="0"/>
        <w:snapToGrid w:val="0"/>
        <w:spacing w:before="120" w:after="120" w:line="360" w:lineRule="auto"/>
      </w:pPr>
    </w:p>
    <w:sectPr>
      <w:footerReference r:id="rId3" w:type="default"/>
      <w:footerReference r:id="rId4" w:type="even"/>
      <w:pgSz w:w="11906" w:h="16838"/>
      <w:pgMar w:top="851" w:right="1797" w:bottom="623"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decorative"/>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8622364"/>
    </w:sdtPr>
    <w:sdtContent>
      <w:sdt>
        <w:sdtPr>
          <w:id w:val="1728636285"/>
        </w:sdtPr>
        <w:sdtContent>
          <w:p w14:paraId="5F29F71F">
            <w:pPr>
              <w:pStyle w:val="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w:t>
            </w:r>
            <w:r>
              <w:rPr>
                <w:b/>
                <w:bCs/>
                <w:sz w:val="24"/>
                <w:szCs w:val="24"/>
              </w:rPr>
              <w:fldChar w:fldCharType="end"/>
            </w:r>
          </w:p>
        </w:sdtContent>
      </w:sdt>
    </w:sdtContent>
  </w:sdt>
  <w:p w14:paraId="38E8557D">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6810C">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14:paraId="1A51167E">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lhZmEwZjhlYzEwOWNmYjUxYTcwNjZhMjBlMTEzYzYifQ=="/>
  </w:docVars>
  <w:rsids>
    <w:rsidRoot w:val="00790464"/>
    <w:rsid w:val="000010B8"/>
    <w:rsid w:val="00014610"/>
    <w:rsid w:val="00023111"/>
    <w:rsid w:val="00024422"/>
    <w:rsid w:val="00031A45"/>
    <w:rsid w:val="00043E0F"/>
    <w:rsid w:val="00046C02"/>
    <w:rsid w:val="00086C01"/>
    <w:rsid w:val="0009150D"/>
    <w:rsid w:val="00093B8C"/>
    <w:rsid w:val="000A0108"/>
    <w:rsid w:val="000A6474"/>
    <w:rsid w:val="000A6B7A"/>
    <w:rsid w:val="000B0973"/>
    <w:rsid w:val="000D5456"/>
    <w:rsid w:val="000E2A70"/>
    <w:rsid w:val="000F3755"/>
    <w:rsid w:val="00104952"/>
    <w:rsid w:val="001069E7"/>
    <w:rsid w:val="0011443E"/>
    <w:rsid w:val="00120BED"/>
    <w:rsid w:val="00141137"/>
    <w:rsid w:val="00145BA5"/>
    <w:rsid w:val="00146F89"/>
    <w:rsid w:val="00147AA1"/>
    <w:rsid w:val="00153A57"/>
    <w:rsid w:val="0015788A"/>
    <w:rsid w:val="00163810"/>
    <w:rsid w:val="00166CBF"/>
    <w:rsid w:val="0018330E"/>
    <w:rsid w:val="00191CEA"/>
    <w:rsid w:val="001A2240"/>
    <w:rsid w:val="001A302E"/>
    <w:rsid w:val="001B00FC"/>
    <w:rsid w:val="001B2006"/>
    <w:rsid w:val="001C4D35"/>
    <w:rsid w:val="001E1F8E"/>
    <w:rsid w:val="00200956"/>
    <w:rsid w:val="00207904"/>
    <w:rsid w:val="00227AE2"/>
    <w:rsid w:val="00247445"/>
    <w:rsid w:val="0026075E"/>
    <w:rsid w:val="002613DC"/>
    <w:rsid w:val="002720DF"/>
    <w:rsid w:val="00281F6D"/>
    <w:rsid w:val="0028283F"/>
    <w:rsid w:val="002B1695"/>
    <w:rsid w:val="002C18B5"/>
    <w:rsid w:val="002D3AE0"/>
    <w:rsid w:val="002F10F6"/>
    <w:rsid w:val="003016BF"/>
    <w:rsid w:val="00316456"/>
    <w:rsid w:val="0033218D"/>
    <w:rsid w:val="00343EBE"/>
    <w:rsid w:val="00352B8E"/>
    <w:rsid w:val="00357A8A"/>
    <w:rsid w:val="0036786E"/>
    <w:rsid w:val="00371A68"/>
    <w:rsid w:val="003A26B1"/>
    <w:rsid w:val="003A6756"/>
    <w:rsid w:val="003F1740"/>
    <w:rsid w:val="003F5DFB"/>
    <w:rsid w:val="00403177"/>
    <w:rsid w:val="004141EE"/>
    <w:rsid w:val="00425B74"/>
    <w:rsid w:val="0044179E"/>
    <w:rsid w:val="00452BD8"/>
    <w:rsid w:val="00460019"/>
    <w:rsid w:val="0046288C"/>
    <w:rsid w:val="00466429"/>
    <w:rsid w:val="00467CD8"/>
    <w:rsid w:val="004756F9"/>
    <w:rsid w:val="00477358"/>
    <w:rsid w:val="00480E10"/>
    <w:rsid w:val="00491996"/>
    <w:rsid w:val="004928E5"/>
    <w:rsid w:val="00496FB1"/>
    <w:rsid w:val="004B7276"/>
    <w:rsid w:val="004C21D7"/>
    <w:rsid w:val="004E3AB8"/>
    <w:rsid w:val="004F20AE"/>
    <w:rsid w:val="0050590D"/>
    <w:rsid w:val="005217A0"/>
    <w:rsid w:val="00525211"/>
    <w:rsid w:val="005501A9"/>
    <w:rsid w:val="0055561A"/>
    <w:rsid w:val="00571F0F"/>
    <w:rsid w:val="0057240F"/>
    <w:rsid w:val="0059184A"/>
    <w:rsid w:val="005A0B30"/>
    <w:rsid w:val="005B04FC"/>
    <w:rsid w:val="005B6816"/>
    <w:rsid w:val="005C3B0D"/>
    <w:rsid w:val="005C4C48"/>
    <w:rsid w:val="005D1D4A"/>
    <w:rsid w:val="005E07E8"/>
    <w:rsid w:val="006110EA"/>
    <w:rsid w:val="00614C7D"/>
    <w:rsid w:val="00621CBA"/>
    <w:rsid w:val="006239DF"/>
    <w:rsid w:val="00624B01"/>
    <w:rsid w:val="00642AD3"/>
    <w:rsid w:val="00652264"/>
    <w:rsid w:val="00656EAF"/>
    <w:rsid w:val="006655EC"/>
    <w:rsid w:val="006711A8"/>
    <w:rsid w:val="0068035A"/>
    <w:rsid w:val="00693D66"/>
    <w:rsid w:val="006B62D8"/>
    <w:rsid w:val="006E6456"/>
    <w:rsid w:val="0070451C"/>
    <w:rsid w:val="00707B2C"/>
    <w:rsid w:val="00722A1D"/>
    <w:rsid w:val="00742046"/>
    <w:rsid w:val="00744846"/>
    <w:rsid w:val="007604FC"/>
    <w:rsid w:val="007872BF"/>
    <w:rsid w:val="00790464"/>
    <w:rsid w:val="007A1936"/>
    <w:rsid w:val="007B2CC1"/>
    <w:rsid w:val="007B4089"/>
    <w:rsid w:val="007B4B32"/>
    <w:rsid w:val="007F56A7"/>
    <w:rsid w:val="00810F85"/>
    <w:rsid w:val="00811D6A"/>
    <w:rsid w:val="00820583"/>
    <w:rsid w:val="00857543"/>
    <w:rsid w:val="008608A9"/>
    <w:rsid w:val="00862659"/>
    <w:rsid w:val="0087563D"/>
    <w:rsid w:val="0088298F"/>
    <w:rsid w:val="008A2B5B"/>
    <w:rsid w:val="008A725B"/>
    <w:rsid w:val="008B21EC"/>
    <w:rsid w:val="008C0245"/>
    <w:rsid w:val="008C7D12"/>
    <w:rsid w:val="008D5152"/>
    <w:rsid w:val="008E672E"/>
    <w:rsid w:val="00904D16"/>
    <w:rsid w:val="00922069"/>
    <w:rsid w:val="0092344B"/>
    <w:rsid w:val="0093190D"/>
    <w:rsid w:val="00975081"/>
    <w:rsid w:val="00984CD2"/>
    <w:rsid w:val="00990025"/>
    <w:rsid w:val="00990831"/>
    <w:rsid w:val="00994DED"/>
    <w:rsid w:val="00997E0B"/>
    <w:rsid w:val="009A17EB"/>
    <w:rsid w:val="009A1990"/>
    <w:rsid w:val="009A1A24"/>
    <w:rsid w:val="009A6E01"/>
    <w:rsid w:val="009B58C3"/>
    <w:rsid w:val="009E6CCB"/>
    <w:rsid w:val="00A00A31"/>
    <w:rsid w:val="00A06E0C"/>
    <w:rsid w:val="00A1095A"/>
    <w:rsid w:val="00A11EE6"/>
    <w:rsid w:val="00A248DA"/>
    <w:rsid w:val="00A25E25"/>
    <w:rsid w:val="00A4361A"/>
    <w:rsid w:val="00A62A07"/>
    <w:rsid w:val="00A652F7"/>
    <w:rsid w:val="00A719B8"/>
    <w:rsid w:val="00A73CAF"/>
    <w:rsid w:val="00AA2DA1"/>
    <w:rsid w:val="00AC1751"/>
    <w:rsid w:val="00AE2A6C"/>
    <w:rsid w:val="00B1193C"/>
    <w:rsid w:val="00B13556"/>
    <w:rsid w:val="00B17489"/>
    <w:rsid w:val="00B200C3"/>
    <w:rsid w:val="00B226FC"/>
    <w:rsid w:val="00B2328E"/>
    <w:rsid w:val="00B242B5"/>
    <w:rsid w:val="00B30447"/>
    <w:rsid w:val="00B40B5B"/>
    <w:rsid w:val="00B45023"/>
    <w:rsid w:val="00B668AD"/>
    <w:rsid w:val="00B9751C"/>
    <w:rsid w:val="00BA1A66"/>
    <w:rsid w:val="00BA7336"/>
    <w:rsid w:val="00BB1BDE"/>
    <w:rsid w:val="00BB21E2"/>
    <w:rsid w:val="00BB3450"/>
    <w:rsid w:val="00BC4B3B"/>
    <w:rsid w:val="00BF26BC"/>
    <w:rsid w:val="00C02A83"/>
    <w:rsid w:val="00C13F03"/>
    <w:rsid w:val="00C16488"/>
    <w:rsid w:val="00C214DC"/>
    <w:rsid w:val="00C32D83"/>
    <w:rsid w:val="00C42196"/>
    <w:rsid w:val="00C464D9"/>
    <w:rsid w:val="00C6064E"/>
    <w:rsid w:val="00C668D4"/>
    <w:rsid w:val="00C67742"/>
    <w:rsid w:val="00C7283B"/>
    <w:rsid w:val="00C8770C"/>
    <w:rsid w:val="00C91253"/>
    <w:rsid w:val="00C94CA9"/>
    <w:rsid w:val="00CA481A"/>
    <w:rsid w:val="00CB11C8"/>
    <w:rsid w:val="00CB5178"/>
    <w:rsid w:val="00CE0D75"/>
    <w:rsid w:val="00CF1CBB"/>
    <w:rsid w:val="00CF6DE8"/>
    <w:rsid w:val="00D12AEC"/>
    <w:rsid w:val="00D20BF1"/>
    <w:rsid w:val="00D21E3F"/>
    <w:rsid w:val="00D25820"/>
    <w:rsid w:val="00D30D4C"/>
    <w:rsid w:val="00D333EE"/>
    <w:rsid w:val="00D338EA"/>
    <w:rsid w:val="00D508D4"/>
    <w:rsid w:val="00D84222"/>
    <w:rsid w:val="00D90AE0"/>
    <w:rsid w:val="00D94202"/>
    <w:rsid w:val="00DB0538"/>
    <w:rsid w:val="00DB27DB"/>
    <w:rsid w:val="00DB6A1F"/>
    <w:rsid w:val="00DC2284"/>
    <w:rsid w:val="00DC6FF9"/>
    <w:rsid w:val="00DD4615"/>
    <w:rsid w:val="00DD4B37"/>
    <w:rsid w:val="00DE0D4A"/>
    <w:rsid w:val="00DE5B04"/>
    <w:rsid w:val="00DE6A61"/>
    <w:rsid w:val="00E06AE7"/>
    <w:rsid w:val="00E07A3D"/>
    <w:rsid w:val="00E13422"/>
    <w:rsid w:val="00E15FB1"/>
    <w:rsid w:val="00E26E5F"/>
    <w:rsid w:val="00E43D0F"/>
    <w:rsid w:val="00E44113"/>
    <w:rsid w:val="00E6133B"/>
    <w:rsid w:val="00E639A7"/>
    <w:rsid w:val="00E7251F"/>
    <w:rsid w:val="00E74E67"/>
    <w:rsid w:val="00E759D4"/>
    <w:rsid w:val="00E772FC"/>
    <w:rsid w:val="00EA6921"/>
    <w:rsid w:val="00ED0B84"/>
    <w:rsid w:val="00ED1B1E"/>
    <w:rsid w:val="00ED508A"/>
    <w:rsid w:val="00EE285B"/>
    <w:rsid w:val="00EE500F"/>
    <w:rsid w:val="00EE67C5"/>
    <w:rsid w:val="00F05071"/>
    <w:rsid w:val="00F22737"/>
    <w:rsid w:val="00F30C3A"/>
    <w:rsid w:val="00F34256"/>
    <w:rsid w:val="00F36ED2"/>
    <w:rsid w:val="00F3762D"/>
    <w:rsid w:val="00F51CB2"/>
    <w:rsid w:val="00F559F9"/>
    <w:rsid w:val="00F860F8"/>
    <w:rsid w:val="00F933C8"/>
    <w:rsid w:val="00FA3410"/>
    <w:rsid w:val="00FA472C"/>
    <w:rsid w:val="00FA746E"/>
    <w:rsid w:val="00FB3752"/>
    <w:rsid w:val="00FC3307"/>
    <w:rsid w:val="00FC481E"/>
    <w:rsid w:val="00FE1D04"/>
    <w:rsid w:val="00FF012D"/>
    <w:rsid w:val="00FF5D43"/>
    <w:rsid w:val="0108266A"/>
    <w:rsid w:val="017C7DA5"/>
    <w:rsid w:val="01830A6D"/>
    <w:rsid w:val="01861FE4"/>
    <w:rsid w:val="018C09AD"/>
    <w:rsid w:val="01AA6880"/>
    <w:rsid w:val="01C33868"/>
    <w:rsid w:val="01F84D2C"/>
    <w:rsid w:val="020F67B4"/>
    <w:rsid w:val="021D2917"/>
    <w:rsid w:val="02812F7D"/>
    <w:rsid w:val="029B4443"/>
    <w:rsid w:val="02D3638E"/>
    <w:rsid w:val="0342672B"/>
    <w:rsid w:val="0354043F"/>
    <w:rsid w:val="03541CED"/>
    <w:rsid w:val="039B36D7"/>
    <w:rsid w:val="03E414F7"/>
    <w:rsid w:val="03EF7717"/>
    <w:rsid w:val="041D34B1"/>
    <w:rsid w:val="043639AB"/>
    <w:rsid w:val="04420529"/>
    <w:rsid w:val="058D2149"/>
    <w:rsid w:val="061056DB"/>
    <w:rsid w:val="064D66A8"/>
    <w:rsid w:val="06C91B51"/>
    <w:rsid w:val="071C27DF"/>
    <w:rsid w:val="07390819"/>
    <w:rsid w:val="074200EB"/>
    <w:rsid w:val="076C3E7F"/>
    <w:rsid w:val="0793466C"/>
    <w:rsid w:val="07AC2DDA"/>
    <w:rsid w:val="07E72587"/>
    <w:rsid w:val="081640C8"/>
    <w:rsid w:val="08767876"/>
    <w:rsid w:val="08953EF3"/>
    <w:rsid w:val="08A26D49"/>
    <w:rsid w:val="08A8383F"/>
    <w:rsid w:val="08D91873"/>
    <w:rsid w:val="08DC3C98"/>
    <w:rsid w:val="08F2619E"/>
    <w:rsid w:val="08FD2829"/>
    <w:rsid w:val="094C3229"/>
    <w:rsid w:val="09603341"/>
    <w:rsid w:val="09D14DF8"/>
    <w:rsid w:val="09EF7F76"/>
    <w:rsid w:val="0A031B10"/>
    <w:rsid w:val="0A195694"/>
    <w:rsid w:val="0A351013"/>
    <w:rsid w:val="0A6C692D"/>
    <w:rsid w:val="0A962658"/>
    <w:rsid w:val="0A9A48BF"/>
    <w:rsid w:val="0A9E6E1F"/>
    <w:rsid w:val="0AA265A1"/>
    <w:rsid w:val="0AC0181A"/>
    <w:rsid w:val="0AFF4C18"/>
    <w:rsid w:val="0B211D1D"/>
    <w:rsid w:val="0B2A230F"/>
    <w:rsid w:val="0B2E62D0"/>
    <w:rsid w:val="0B7373D0"/>
    <w:rsid w:val="0B9466B6"/>
    <w:rsid w:val="0B9C19F0"/>
    <w:rsid w:val="0BA41C12"/>
    <w:rsid w:val="0C2A07EE"/>
    <w:rsid w:val="0C465D52"/>
    <w:rsid w:val="0C53241E"/>
    <w:rsid w:val="0CB43F4D"/>
    <w:rsid w:val="0D19456C"/>
    <w:rsid w:val="0D58452E"/>
    <w:rsid w:val="0D6D5193"/>
    <w:rsid w:val="0DD25099"/>
    <w:rsid w:val="0E132746"/>
    <w:rsid w:val="0E276877"/>
    <w:rsid w:val="0E4868CD"/>
    <w:rsid w:val="0E5F2571"/>
    <w:rsid w:val="0E616BF2"/>
    <w:rsid w:val="0E957580"/>
    <w:rsid w:val="0ECF00CF"/>
    <w:rsid w:val="0EEB39DC"/>
    <w:rsid w:val="0EEE500C"/>
    <w:rsid w:val="0F393C51"/>
    <w:rsid w:val="0F3F293A"/>
    <w:rsid w:val="0F3F58EB"/>
    <w:rsid w:val="0F4A4B70"/>
    <w:rsid w:val="0F633AAF"/>
    <w:rsid w:val="0FE50E62"/>
    <w:rsid w:val="11583E25"/>
    <w:rsid w:val="11AA3A65"/>
    <w:rsid w:val="11B84E0A"/>
    <w:rsid w:val="11DD564B"/>
    <w:rsid w:val="121C19E4"/>
    <w:rsid w:val="12660006"/>
    <w:rsid w:val="129B0BEB"/>
    <w:rsid w:val="130E7E32"/>
    <w:rsid w:val="13214092"/>
    <w:rsid w:val="135B41D8"/>
    <w:rsid w:val="136A5781"/>
    <w:rsid w:val="13840522"/>
    <w:rsid w:val="13DA0586"/>
    <w:rsid w:val="13DF1AF7"/>
    <w:rsid w:val="13E908D0"/>
    <w:rsid w:val="13E9600F"/>
    <w:rsid w:val="140D648E"/>
    <w:rsid w:val="14561ECD"/>
    <w:rsid w:val="169823EF"/>
    <w:rsid w:val="169A16CF"/>
    <w:rsid w:val="170437A0"/>
    <w:rsid w:val="170D03B4"/>
    <w:rsid w:val="17790431"/>
    <w:rsid w:val="17891EEB"/>
    <w:rsid w:val="17A9512A"/>
    <w:rsid w:val="17E76480"/>
    <w:rsid w:val="17FE3C79"/>
    <w:rsid w:val="183A1DA4"/>
    <w:rsid w:val="186824E4"/>
    <w:rsid w:val="18901BF7"/>
    <w:rsid w:val="18E50AA5"/>
    <w:rsid w:val="19145831"/>
    <w:rsid w:val="1914740B"/>
    <w:rsid w:val="1927323A"/>
    <w:rsid w:val="19321B9A"/>
    <w:rsid w:val="194A3AA0"/>
    <w:rsid w:val="196C54C1"/>
    <w:rsid w:val="19B17D1E"/>
    <w:rsid w:val="19CE0DF6"/>
    <w:rsid w:val="19EF056A"/>
    <w:rsid w:val="1A754CBE"/>
    <w:rsid w:val="1B242F44"/>
    <w:rsid w:val="1B762D07"/>
    <w:rsid w:val="1BAA67A2"/>
    <w:rsid w:val="1BB6752B"/>
    <w:rsid w:val="1C302A04"/>
    <w:rsid w:val="1C38507B"/>
    <w:rsid w:val="1C390C88"/>
    <w:rsid w:val="1C444661"/>
    <w:rsid w:val="1C4B69F4"/>
    <w:rsid w:val="1C9D4D14"/>
    <w:rsid w:val="1CFD502E"/>
    <w:rsid w:val="1DAF3467"/>
    <w:rsid w:val="1DBE0167"/>
    <w:rsid w:val="1DC15DE5"/>
    <w:rsid w:val="1DF347E8"/>
    <w:rsid w:val="1E1C3549"/>
    <w:rsid w:val="1E4E5992"/>
    <w:rsid w:val="1EAA5DD0"/>
    <w:rsid w:val="1ED1758D"/>
    <w:rsid w:val="1EE76746"/>
    <w:rsid w:val="1F3B7BAA"/>
    <w:rsid w:val="1F663458"/>
    <w:rsid w:val="1FA75752"/>
    <w:rsid w:val="1FC35AFC"/>
    <w:rsid w:val="1FE85E0B"/>
    <w:rsid w:val="202C2643"/>
    <w:rsid w:val="202D7D92"/>
    <w:rsid w:val="204272B6"/>
    <w:rsid w:val="208313DE"/>
    <w:rsid w:val="209D56BC"/>
    <w:rsid w:val="20A87175"/>
    <w:rsid w:val="21157B9B"/>
    <w:rsid w:val="21BA0857"/>
    <w:rsid w:val="21F363AE"/>
    <w:rsid w:val="2261222E"/>
    <w:rsid w:val="23005466"/>
    <w:rsid w:val="23152115"/>
    <w:rsid w:val="23187D85"/>
    <w:rsid w:val="231958A5"/>
    <w:rsid w:val="233676E6"/>
    <w:rsid w:val="23594597"/>
    <w:rsid w:val="236673EF"/>
    <w:rsid w:val="237B789E"/>
    <w:rsid w:val="23CA5B2A"/>
    <w:rsid w:val="23D864D1"/>
    <w:rsid w:val="23E52FF0"/>
    <w:rsid w:val="23EB3239"/>
    <w:rsid w:val="24644F69"/>
    <w:rsid w:val="25366BA0"/>
    <w:rsid w:val="2575559D"/>
    <w:rsid w:val="25A063E6"/>
    <w:rsid w:val="25B012B2"/>
    <w:rsid w:val="26166FE7"/>
    <w:rsid w:val="263A5781"/>
    <w:rsid w:val="266E1A48"/>
    <w:rsid w:val="26C06765"/>
    <w:rsid w:val="26C77BAF"/>
    <w:rsid w:val="26D67325"/>
    <w:rsid w:val="26F06AAA"/>
    <w:rsid w:val="26FE4A9E"/>
    <w:rsid w:val="270F7146"/>
    <w:rsid w:val="272F7241"/>
    <w:rsid w:val="273529E4"/>
    <w:rsid w:val="27980CAE"/>
    <w:rsid w:val="27C23FF4"/>
    <w:rsid w:val="27E42160"/>
    <w:rsid w:val="27E547AF"/>
    <w:rsid w:val="27E9034B"/>
    <w:rsid w:val="27F711FE"/>
    <w:rsid w:val="280A36C2"/>
    <w:rsid w:val="280F02BF"/>
    <w:rsid w:val="28230973"/>
    <w:rsid w:val="285D3006"/>
    <w:rsid w:val="288243D2"/>
    <w:rsid w:val="28832A69"/>
    <w:rsid w:val="289202C7"/>
    <w:rsid w:val="28C70EAE"/>
    <w:rsid w:val="28E077FF"/>
    <w:rsid w:val="29096866"/>
    <w:rsid w:val="29696031"/>
    <w:rsid w:val="297837E2"/>
    <w:rsid w:val="29907BC4"/>
    <w:rsid w:val="2A0D4C68"/>
    <w:rsid w:val="2A106B77"/>
    <w:rsid w:val="2A256738"/>
    <w:rsid w:val="2A4B40C5"/>
    <w:rsid w:val="2A825147"/>
    <w:rsid w:val="2ADA5F7A"/>
    <w:rsid w:val="2B031B05"/>
    <w:rsid w:val="2B0A0D5F"/>
    <w:rsid w:val="2B2B5BB6"/>
    <w:rsid w:val="2B53636C"/>
    <w:rsid w:val="2B6275CF"/>
    <w:rsid w:val="2B793DBD"/>
    <w:rsid w:val="2BD07767"/>
    <w:rsid w:val="2C027745"/>
    <w:rsid w:val="2C146B8E"/>
    <w:rsid w:val="2C54538A"/>
    <w:rsid w:val="2C7008F9"/>
    <w:rsid w:val="2C7A48BD"/>
    <w:rsid w:val="2C8C0A79"/>
    <w:rsid w:val="2C943CFE"/>
    <w:rsid w:val="2C984885"/>
    <w:rsid w:val="2CA155B1"/>
    <w:rsid w:val="2CBB20EA"/>
    <w:rsid w:val="2D90670C"/>
    <w:rsid w:val="2D966D63"/>
    <w:rsid w:val="2DA0709C"/>
    <w:rsid w:val="2DBB60AF"/>
    <w:rsid w:val="2DC351CA"/>
    <w:rsid w:val="2DFE3D49"/>
    <w:rsid w:val="2E1F4CB8"/>
    <w:rsid w:val="2E207222"/>
    <w:rsid w:val="2EF87B5B"/>
    <w:rsid w:val="2F73404D"/>
    <w:rsid w:val="2FA320B8"/>
    <w:rsid w:val="2FAC223A"/>
    <w:rsid w:val="2FC85808"/>
    <w:rsid w:val="2FD42A76"/>
    <w:rsid w:val="305348F6"/>
    <w:rsid w:val="306A20E4"/>
    <w:rsid w:val="3076725A"/>
    <w:rsid w:val="30820F19"/>
    <w:rsid w:val="3101078C"/>
    <w:rsid w:val="31235747"/>
    <w:rsid w:val="31242D2F"/>
    <w:rsid w:val="31B97799"/>
    <w:rsid w:val="320A362B"/>
    <w:rsid w:val="327E4D24"/>
    <w:rsid w:val="329544C7"/>
    <w:rsid w:val="32CF3F13"/>
    <w:rsid w:val="32D01393"/>
    <w:rsid w:val="333B2AB6"/>
    <w:rsid w:val="337D6E04"/>
    <w:rsid w:val="33A434AA"/>
    <w:rsid w:val="342D28BB"/>
    <w:rsid w:val="34AD0740"/>
    <w:rsid w:val="34C841F6"/>
    <w:rsid w:val="35490297"/>
    <w:rsid w:val="35F66350"/>
    <w:rsid w:val="35FE0A4A"/>
    <w:rsid w:val="36220BB6"/>
    <w:rsid w:val="362925D9"/>
    <w:rsid w:val="364E135B"/>
    <w:rsid w:val="36525F03"/>
    <w:rsid w:val="368B21D6"/>
    <w:rsid w:val="369C5210"/>
    <w:rsid w:val="36C3086F"/>
    <w:rsid w:val="36CB3A82"/>
    <w:rsid w:val="36E74768"/>
    <w:rsid w:val="36FC7836"/>
    <w:rsid w:val="37132D62"/>
    <w:rsid w:val="373C26E0"/>
    <w:rsid w:val="37AA533A"/>
    <w:rsid w:val="37D40A62"/>
    <w:rsid w:val="37D96099"/>
    <w:rsid w:val="38123D96"/>
    <w:rsid w:val="383017E0"/>
    <w:rsid w:val="38995D74"/>
    <w:rsid w:val="38DB672A"/>
    <w:rsid w:val="39185DF3"/>
    <w:rsid w:val="39410803"/>
    <w:rsid w:val="39874250"/>
    <w:rsid w:val="399A6858"/>
    <w:rsid w:val="39BE76BC"/>
    <w:rsid w:val="39E50270"/>
    <w:rsid w:val="3A201692"/>
    <w:rsid w:val="3A622F2F"/>
    <w:rsid w:val="3A710641"/>
    <w:rsid w:val="3AD323C3"/>
    <w:rsid w:val="3B103087"/>
    <w:rsid w:val="3BDE5077"/>
    <w:rsid w:val="3C002732"/>
    <w:rsid w:val="3C6E13C1"/>
    <w:rsid w:val="3C7200B7"/>
    <w:rsid w:val="3CAC1C64"/>
    <w:rsid w:val="3CCE207A"/>
    <w:rsid w:val="3CF53309"/>
    <w:rsid w:val="3D5273E6"/>
    <w:rsid w:val="3D5D38F4"/>
    <w:rsid w:val="3D6B2A28"/>
    <w:rsid w:val="3E054538"/>
    <w:rsid w:val="3E29709A"/>
    <w:rsid w:val="3E5A5EC0"/>
    <w:rsid w:val="3E6C41DB"/>
    <w:rsid w:val="3E904A05"/>
    <w:rsid w:val="3E9759EA"/>
    <w:rsid w:val="3EAF2776"/>
    <w:rsid w:val="3EE11C16"/>
    <w:rsid w:val="3EEE5BFF"/>
    <w:rsid w:val="3F141717"/>
    <w:rsid w:val="3F1D40F3"/>
    <w:rsid w:val="3F5E56E7"/>
    <w:rsid w:val="3F9468E2"/>
    <w:rsid w:val="3FBE4C9A"/>
    <w:rsid w:val="3FFE3951"/>
    <w:rsid w:val="40245718"/>
    <w:rsid w:val="409171AC"/>
    <w:rsid w:val="40995C18"/>
    <w:rsid w:val="40D03252"/>
    <w:rsid w:val="40DF3906"/>
    <w:rsid w:val="411759F1"/>
    <w:rsid w:val="413D6036"/>
    <w:rsid w:val="41625292"/>
    <w:rsid w:val="41BB3CB7"/>
    <w:rsid w:val="41C44F49"/>
    <w:rsid w:val="41E25A13"/>
    <w:rsid w:val="41F0585F"/>
    <w:rsid w:val="41F17CD6"/>
    <w:rsid w:val="42021D76"/>
    <w:rsid w:val="43AF534C"/>
    <w:rsid w:val="43EA65D8"/>
    <w:rsid w:val="443B7603"/>
    <w:rsid w:val="44A16256"/>
    <w:rsid w:val="44F24C01"/>
    <w:rsid w:val="45A75091"/>
    <w:rsid w:val="45FA2EAE"/>
    <w:rsid w:val="45FB7BBE"/>
    <w:rsid w:val="46321365"/>
    <w:rsid w:val="46990AB6"/>
    <w:rsid w:val="46BE61EE"/>
    <w:rsid w:val="46F45A28"/>
    <w:rsid w:val="471F3AAA"/>
    <w:rsid w:val="475A118E"/>
    <w:rsid w:val="47755418"/>
    <w:rsid w:val="479B3C1B"/>
    <w:rsid w:val="47AC700E"/>
    <w:rsid w:val="47B62D28"/>
    <w:rsid w:val="48495E6C"/>
    <w:rsid w:val="48695351"/>
    <w:rsid w:val="48A61E2B"/>
    <w:rsid w:val="48DF318F"/>
    <w:rsid w:val="48ED214D"/>
    <w:rsid w:val="490E544D"/>
    <w:rsid w:val="49B66CBA"/>
    <w:rsid w:val="49D92F2B"/>
    <w:rsid w:val="4A780A6F"/>
    <w:rsid w:val="4A7F5140"/>
    <w:rsid w:val="4A942DCC"/>
    <w:rsid w:val="4ADF082A"/>
    <w:rsid w:val="4B49162A"/>
    <w:rsid w:val="4B963C19"/>
    <w:rsid w:val="4BEF7935"/>
    <w:rsid w:val="4C283123"/>
    <w:rsid w:val="4C6F2B54"/>
    <w:rsid w:val="4C730531"/>
    <w:rsid w:val="4CDF7C5E"/>
    <w:rsid w:val="4D081583"/>
    <w:rsid w:val="4D99642E"/>
    <w:rsid w:val="4DB447C8"/>
    <w:rsid w:val="4DCD15DC"/>
    <w:rsid w:val="4E177F5A"/>
    <w:rsid w:val="4E58728D"/>
    <w:rsid w:val="4E70374E"/>
    <w:rsid w:val="4E7B1437"/>
    <w:rsid w:val="4E9033A1"/>
    <w:rsid w:val="4F1E1EA3"/>
    <w:rsid w:val="4F3229E3"/>
    <w:rsid w:val="4F646D1B"/>
    <w:rsid w:val="4F6C1E0C"/>
    <w:rsid w:val="4FAA2B55"/>
    <w:rsid w:val="4FC52705"/>
    <w:rsid w:val="5011365D"/>
    <w:rsid w:val="50450ECA"/>
    <w:rsid w:val="507C6727"/>
    <w:rsid w:val="50D74C43"/>
    <w:rsid w:val="50E366A7"/>
    <w:rsid w:val="50E67040"/>
    <w:rsid w:val="50F361E4"/>
    <w:rsid w:val="51082883"/>
    <w:rsid w:val="512041CB"/>
    <w:rsid w:val="51375AFB"/>
    <w:rsid w:val="518C5A74"/>
    <w:rsid w:val="52B0423A"/>
    <w:rsid w:val="52E413F2"/>
    <w:rsid w:val="530C5C8E"/>
    <w:rsid w:val="531E26C0"/>
    <w:rsid w:val="535074F6"/>
    <w:rsid w:val="537A707D"/>
    <w:rsid w:val="53BD32BC"/>
    <w:rsid w:val="53E45EA6"/>
    <w:rsid w:val="53FB6C32"/>
    <w:rsid w:val="540764B4"/>
    <w:rsid w:val="541274DE"/>
    <w:rsid w:val="548F357B"/>
    <w:rsid w:val="5498464E"/>
    <w:rsid w:val="54AD3515"/>
    <w:rsid w:val="5509172D"/>
    <w:rsid w:val="550D2B8B"/>
    <w:rsid w:val="55233265"/>
    <w:rsid w:val="553D08ED"/>
    <w:rsid w:val="553D684F"/>
    <w:rsid w:val="555E42B4"/>
    <w:rsid w:val="556D3DD5"/>
    <w:rsid w:val="557F212C"/>
    <w:rsid w:val="55B428E5"/>
    <w:rsid w:val="55E5454C"/>
    <w:rsid w:val="55E83604"/>
    <w:rsid w:val="56507CF7"/>
    <w:rsid w:val="565C6206"/>
    <w:rsid w:val="56900CDA"/>
    <w:rsid w:val="56F83639"/>
    <w:rsid w:val="57044055"/>
    <w:rsid w:val="570609B0"/>
    <w:rsid w:val="5717399D"/>
    <w:rsid w:val="57285449"/>
    <w:rsid w:val="574D7839"/>
    <w:rsid w:val="57790D1A"/>
    <w:rsid w:val="57886969"/>
    <w:rsid w:val="57A124DD"/>
    <w:rsid w:val="57A27F86"/>
    <w:rsid w:val="57C77607"/>
    <w:rsid w:val="57FD6FE4"/>
    <w:rsid w:val="58274098"/>
    <w:rsid w:val="582A6EC6"/>
    <w:rsid w:val="58830801"/>
    <w:rsid w:val="58B9088D"/>
    <w:rsid w:val="59035382"/>
    <w:rsid w:val="598612C2"/>
    <w:rsid w:val="59AB3409"/>
    <w:rsid w:val="5A0E0980"/>
    <w:rsid w:val="5A5C0DF7"/>
    <w:rsid w:val="5AAC3E65"/>
    <w:rsid w:val="5AB26144"/>
    <w:rsid w:val="5AC030CF"/>
    <w:rsid w:val="5B103419"/>
    <w:rsid w:val="5B236C80"/>
    <w:rsid w:val="5B3D1E12"/>
    <w:rsid w:val="5B7D1C80"/>
    <w:rsid w:val="5BA00201"/>
    <w:rsid w:val="5C64497C"/>
    <w:rsid w:val="5C802D8A"/>
    <w:rsid w:val="5CB85642"/>
    <w:rsid w:val="5CD549BD"/>
    <w:rsid w:val="5CE367C3"/>
    <w:rsid w:val="5D097C0E"/>
    <w:rsid w:val="5D587D6F"/>
    <w:rsid w:val="5D67264C"/>
    <w:rsid w:val="5D921888"/>
    <w:rsid w:val="5E5D2C68"/>
    <w:rsid w:val="5EA721B2"/>
    <w:rsid w:val="5EBF6555"/>
    <w:rsid w:val="5F11071A"/>
    <w:rsid w:val="5F192645"/>
    <w:rsid w:val="5F9E0A15"/>
    <w:rsid w:val="5FAC0675"/>
    <w:rsid w:val="6048101F"/>
    <w:rsid w:val="605B2CDE"/>
    <w:rsid w:val="609258C7"/>
    <w:rsid w:val="60AE666A"/>
    <w:rsid w:val="60AF4C69"/>
    <w:rsid w:val="60E363EC"/>
    <w:rsid w:val="610A15BD"/>
    <w:rsid w:val="616216BB"/>
    <w:rsid w:val="61EA1817"/>
    <w:rsid w:val="62200A5F"/>
    <w:rsid w:val="62822AF3"/>
    <w:rsid w:val="62940529"/>
    <w:rsid w:val="63021BC0"/>
    <w:rsid w:val="63157C79"/>
    <w:rsid w:val="63564D46"/>
    <w:rsid w:val="639F33D3"/>
    <w:rsid w:val="64414A5D"/>
    <w:rsid w:val="64663390"/>
    <w:rsid w:val="647B44CB"/>
    <w:rsid w:val="64885008"/>
    <w:rsid w:val="648F77C3"/>
    <w:rsid w:val="649A6951"/>
    <w:rsid w:val="64A04A82"/>
    <w:rsid w:val="64DB3ACF"/>
    <w:rsid w:val="6505143C"/>
    <w:rsid w:val="650A38BC"/>
    <w:rsid w:val="651F1292"/>
    <w:rsid w:val="65266429"/>
    <w:rsid w:val="656129A9"/>
    <w:rsid w:val="65A868A6"/>
    <w:rsid w:val="65AA2420"/>
    <w:rsid w:val="65CE6989"/>
    <w:rsid w:val="660E4690"/>
    <w:rsid w:val="66670356"/>
    <w:rsid w:val="666D1C5B"/>
    <w:rsid w:val="667062CE"/>
    <w:rsid w:val="67135635"/>
    <w:rsid w:val="67394079"/>
    <w:rsid w:val="673D1349"/>
    <w:rsid w:val="674063B3"/>
    <w:rsid w:val="675947CD"/>
    <w:rsid w:val="67F635CE"/>
    <w:rsid w:val="68290467"/>
    <w:rsid w:val="68541290"/>
    <w:rsid w:val="686C79FD"/>
    <w:rsid w:val="68B70F96"/>
    <w:rsid w:val="69246C5B"/>
    <w:rsid w:val="69310A84"/>
    <w:rsid w:val="69E4173C"/>
    <w:rsid w:val="6A082616"/>
    <w:rsid w:val="6A4B22C7"/>
    <w:rsid w:val="6A531AFC"/>
    <w:rsid w:val="6AA94DAB"/>
    <w:rsid w:val="6AF75429"/>
    <w:rsid w:val="6AFC7388"/>
    <w:rsid w:val="6B880326"/>
    <w:rsid w:val="6BB525B8"/>
    <w:rsid w:val="6BFB1419"/>
    <w:rsid w:val="6C996D6B"/>
    <w:rsid w:val="6CB44957"/>
    <w:rsid w:val="6D103582"/>
    <w:rsid w:val="6D906002"/>
    <w:rsid w:val="6D91152E"/>
    <w:rsid w:val="6DC4243F"/>
    <w:rsid w:val="6DEE6E6C"/>
    <w:rsid w:val="6E052BDA"/>
    <w:rsid w:val="6E0618DB"/>
    <w:rsid w:val="6E19439B"/>
    <w:rsid w:val="6E316614"/>
    <w:rsid w:val="6E626029"/>
    <w:rsid w:val="6E7C2996"/>
    <w:rsid w:val="6EC83B10"/>
    <w:rsid w:val="6ED46C1D"/>
    <w:rsid w:val="6EFC4430"/>
    <w:rsid w:val="6F081BC4"/>
    <w:rsid w:val="6F0A52AB"/>
    <w:rsid w:val="6F0B72DE"/>
    <w:rsid w:val="6F1E1743"/>
    <w:rsid w:val="6F545D33"/>
    <w:rsid w:val="6FBA7D1E"/>
    <w:rsid w:val="6FD748C4"/>
    <w:rsid w:val="704B4657"/>
    <w:rsid w:val="708F0916"/>
    <w:rsid w:val="70970C1C"/>
    <w:rsid w:val="70AA58A2"/>
    <w:rsid w:val="70E91E0A"/>
    <w:rsid w:val="70EA54B3"/>
    <w:rsid w:val="71107520"/>
    <w:rsid w:val="716C512E"/>
    <w:rsid w:val="71712CA1"/>
    <w:rsid w:val="71CC5A83"/>
    <w:rsid w:val="72042C01"/>
    <w:rsid w:val="72334302"/>
    <w:rsid w:val="723949C4"/>
    <w:rsid w:val="723A4246"/>
    <w:rsid w:val="728A4582"/>
    <w:rsid w:val="72C2652A"/>
    <w:rsid w:val="73032956"/>
    <w:rsid w:val="733D5F8B"/>
    <w:rsid w:val="73E921A8"/>
    <w:rsid w:val="741075B3"/>
    <w:rsid w:val="74787477"/>
    <w:rsid w:val="74AD0DD8"/>
    <w:rsid w:val="74B013A4"/>
    <w:rsid w:val="74C44C31"/>
    <w:rsid w:val="74F87CA0"/>
    <w:rsid w:val="753F5BEB"/>
    <w:rsid w:val="756C1B95"/>
    <w:rsid w:val="75705AAF"/>
    <w:rsid w:val="75B271F3"/>
    <w:rsid w:val="75B93772"/>
    <w:rsid w:val="75F74A34"/>
    <w:rsid w:val="764879E2"/>
    <w:rsid w:val="76BF2D5B"/>
    <w:rsid w:val="770E0341"/>
    <w:rsid w:val="77332061"/>
    <w:rsid w:val="77514B17"/>
    <w:rsid w:val="778D14C9"/>
    <w:rsid w:val="77A4142B"/>
    <w:rsid w:val="77E506D7"/>
    <w:rsid w:val="77F11026"/>
    <w:rsid w:val="78081390"/>
    <w:rsid w:val="78124A47"/>
    <w:rsid w:val="781813D7"/>
    <w:rsid w:val="783A2301"/>
    <w:rsid w:val="78560A17"/>
    <w:rsid w:val="787C5087"/>
    <w:rsid w:val="789926B7"/>
    <w:rsid w:val="78A251EE"/>
    <w:rsid w:val="78B431D0"/>
    <w:rsid w:val="78E57C0E"/>
    <w:rsid w:val="791F46FF"/>
    <w:rsid w:val="79471544"/>
    <w:rsid w:val="795F654E"/>
    <w:rsid w:val="796B0B65"/>
    <w:rsid w:val="796F787D"/>
    <w:rsid w:val="798653BE"/>
    <w:rsid w:val="799E3220"/>
    <w:rsid w:val="79B075CE"/>
    <w:rsid w:val="79BB4070"/>
    <w:rsid w:val="7A2F7D77"/>
    <w:rsid w:val="7A345ADA"/>
    <w:rsid w:val="7AB52E5A"/>
    <w:rsid w:val="7AC97E3E"/>
    <w:rsid w:val="7B054783"/>
    <w:rsid w:val="7B560124"/>
    <w:rsid w:val="7B7E6F25"/>
    <w:rsid w:val="7B850096"/>
    <w:rsid w:val="7BC917CE"/>
    <w:rsid w:val="7BD76698"/>
    <w:rsid w:val="7C111ADF"/>
    <w:rsid w:val="7C606610"/>
    <w:rsid w:val="7C91113F"/>
    <w:rsid w:val="7CAD5CB4"/>
    <w:rsid w:val="7CB41F45"/>
    <w:rsid w:val="7CD051C6"/>
    <w:rsid w:val="7CE741EA"/>
    <w:rsid w:val="7D092698"/>
    <w:rsid w:val="7D347711"/>
    <w:rsid w:val="7D77597E"/>
    <w:rsid w:val="7E102492"/>
    <w:rsid w:val="7E421D82"/>
    <w:rsid w:val="7E4335BE"/>
    <w:rsid w:val="7E4C3A72"/>
    <w:rsid w:val="7E506E96"/>
    <w:rsid w:val="7E902A30"/>
    <w:rsid w:val="7EA50E1A"/>
    <w:rsid w:val="7EE37FF4"/>
    <w:rsid w:val="7F5959FB"/>
    <w:rsid w:val="7FA16E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6"/>
    <w:autoRedefine/>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20"/>
    <w:autoRedefine/>
    <w:unhideWhenUsed/>
    <w:qFormat/>
    <w:uiPriority w:val="99"/>
    <w:rPr>
      <w:sz w:val="18"/>
      <w:szCs w:val="18"/>
    </w:rPr>
  </w:style>
  <w:style w:type="paragraph" w:styleId="4">
    <w:name w:val="footer"/>
    <w:basedOn w:val="1"/>
    <w:link w:val="12"/>
    <w:autoRedefine/>
    <w:qFormat/>
    <w:uiPriority w:val="99"/>
    <w:pPr>
      <w:tabs>
        <w:tab w:val="center" w:pos="4153"/>
        <w:tab w:val="right" w:pos="8306"/>
      </w:tabs>
      <w:snapToGrid w:val="0"/>
      <w:jc w:val="left"/>
    </w:pPr>
    <w:rPr>
      <w:sz w:val="18"/>
      <w:szCs w:val="18"/>
    </w:rPr>
  </w:style>
  <w:style w:type="paragraph" w:styleId="5">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lang w:val="zh-CN"/>
    </w:rPr>
  </w:style>
  <w:style w:type="paragraph" w:styleId="6">
    <w:name w:val="Normal (Web)"/>
    <w:basedOn w:val="1"/>
    <w:autoRedefine/>
    <w:unhideWhenUsed/>
    <w:qFormat/>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autoRedefine/>
    <w:qFormat/>
    <w:uiPriority w:val="0"/>
  </w:style>
  <w:style w:type="character" w:styleId="11">
    <w:name w:val="Hyperlink"/>
    <w:basedOn w:val="9"/>
    <w:autoRedefine/>
    <w:unhideWhenUsed/>
    <w:qFormat/>
    <w:uiPriority w:val="99"/>
    <w:rPr>
      <w:color w:val="0563C1" w:themeColor="hyperlink"/>
      <w:u w:val="single"/>
      <w14:textFill>
        <w14:solidFill>
          <w14:schemeClr w14:val="hlink"/>
        </w14:solidFill>
      </w14:textFill>
    </w:rPr>
  </w:style>
  <w:style w:type="character" w:customStyle="1" w:styleId="12">
    <w:name w:val="页脚 字符"/>
    <w:basedOn w:val="9"/>
    <w:link w:val="4"/>
    <w:autoRedefine/>
    <w:qFormat/>
    <w:uiPriority w:val="99"/>
    <w:rPr>
      <w:rFonts w:ascii="Times New Roman" w:hAnsi="Times New Roman" w:eastAsia="宋体" w:cs="Times New Roman"/>
      <w:sz w:val="18"/>
      <w:szCs w:val="18"/>
    </w:rPr>
  </w:style>
  <w:style w:type="paragraph" w:customStyle="1" w:styleId="13">
    <w:name w:val="样式 标题 1 + 首行缩进:  2 字符"/>
    <w:basedOn w:val="2"/>
    <w:next w:val="1"/>
    <w:autoRedefine/>
    <w:qFormat/>
    <w:uiPriority w:val="0"/>
    <w:pPr>
      <w:keepNext w:val="0"/>
      <w:keepLines w:val="0"/>
      <w:spacing w:before="60" w:after="60" w:line="240" w:lineRule="auto"/>
      <w:jc w:val="center"/>
      <w:outlineLvl w:val="9"/>
    </w:pPr>
    <w:rPr>
      <w:rFonts w:ascii="仿宋_GB2312" w:eastAsia="仿宋_GB2312"/>
      <w:b w:val="0"/>
      <w:bCs w:val="0"/>
      <w:kern w:val="2"/>
      <w:sz w:val="24"/>
      <w:szCs w:val="20"/>
    </w:rPr>
  </w:style>
  <w:style w:type="paragraph" w:customStyle="1" w:styleId="14">
    <w:name w:val="正文表格"/>
    <w:basedOn w:val="1"/>
    <w:autoRedefine/>
    <w:qFormat/>
    <w:uiPriority w:val="0"/>
    <w:pPr>
      <w:spacing w:before="60" w:after="60"/>
    </w:pPr>
    <w:rPr>
      <w:sz w:val="24"/>
    </w:rPr>
  </w:style>
  <w:style w:type="character" w:customStyle="1" w:styleId="15">
    <w:name w:val="页眉 字符"/>
    <w:basedOn w:val="9"/>
    <w:link w:val="5"/>
    <w:autoRedefine/>
    <w:qFormat/>
    <w:uiPriority w:val="99"/>
    <w:rPr>
      <w:rFonts w:ascii="Times New Roman" w:hAnsi="Times New Roman" w:eastAsia="宋体" w:cs="Times New Roman"/>
      <w:sz w:val="18"/>
      <w:szCs w:val="18"/>
      <w:lang w:val="zh-CN" w:eastAsia="zh-CN"/>
    </w:rPr>
  </w:style>
  <w:style w:type="character" w:customStyle="1" w:styleId="16">
    <w:name w:val="标题 1 字符"/>
    <w:basedOn w:val="9"/>
    <w:link w:val="2"/>
    <w:autoRedefine/>
    <w:qFormat/>
    <w:uiPriority w:val="9"/>
    <w:rPr>
      <w:rFonts w:ascii="Times New Roman" w:hAnsi="Times New Roman" w:eastAsia="宋体" w:cs="Times New Roman"/>
      <w:b/>
      <w:bCs/>
      <w:kern w:val="44"/>
      <w:sz w:val="44"/>
      <w:szCs w:val="44"/>
    </w:rPr>
  </w:style>
  <w:style w:type="paragraph" w:customStyle="1" w:styleId="17">
    <w:name w:val="列出段落1"/>
    <w:basedOn w:val="1"/>
    <w:autoRedefine/>
    <w:qFormat/>
    <w:uiPriority w:val="99"/>
    <w:pPr>
      <w:ind w:firstLine="420" w:firstLineChars="200"/>
    </w:pPr>
  </w:style>
  <w:style w:type="character" w:customStyle="1" w:styleId="18">
    <w:name w:val="font6"/>
    <w:basedOn w:val="9"/>
    <w:autoRedefine/>
    <w:qFormat/>
    <w:uiPriority w:val="0"/>
  </w:style>
  <w:style w:type="character" w:customStyle="1" w:styleId="19">
    <w:name w:val="font5"/>
    <w:basedOn w:val="9"/>
    <w:autoRedefine/>
    <w:qFormat/>
    <w:uiPriority w:val="0"/>
  </w:style>
  <w:style w:type="character" w:customStyle="1" w:styleId="20">
    <w:name w:val="批注框文本 字符"/>
    <w:basedOn w:val="9"/>
    <w:link w:val="3"/>
    <w:autoRedefine/>
    <w:semiHidden/>
    <w:qFormat/>
    <w:uiPriority w:val="99"/>
    <w:rPr>
      <w:kern w:val="2"/>
      <w:sz w:val="18"/>
      <w:szCs w:val="18"/>
    </w:rPr>
  </w:style>
  <w:style w:type="paragraph" w:styleId="21">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2557</Words>
  <Characters>2657</Characters>
  <Lines>18</Lines>
  <Paragraphs>5</Paragraphs>
  <TotalTime>2</TotalTime>
  <ScaleCrop>false</ScaleCrop>
  <LinksUpToDate>false</LinksUpToDate>
  <CharactersWithSpaces>2830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2024-05-15T14:19:00Z</dcterms:created>
  <dc:creator>yjhe</dc:creator>
  <cp:lastModifiedBy>Guan</cp:lastModifiedBy>
  <cp:lastPrinted>2026-06-04T00:55:00Z</cp:lastPrinted>
  <dcterms:modified xsi:type="dcterms:W3CDTF">2026-08-26T07:39:37Z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D37080F07C584B79980989AEF04D5398_13</vt:lpwstr>
  </property>
  <property fmtid="{D5CDD505-2E9C-101B-9397-08002B2CF9AE}" pid="4" name="KSOTemplateDocerSaveRecord">
    <vt:lpwstr>eyJoZGlkIjoiZTA1ZmRhMTc5NzRhZDE2MzAyYTA0NDBlOTBjYzdlOTQiLCJ1c2VySWQiOiI1NjQyNjU5NzQifQ==</vt:lpwstr>
  </property>
</Properties>
</file>