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4FAB6F" w14:textId="7C0A82CC" w:rsidR="007F1B21" w:rsidRPr="007F1B21" w:rsidRDefault="007F1B21">
      <w:pPr>
        <w:rPr>
          <w:b/>
          <w:bCs/>
          <w:sz w:val="32"/>
          <w:szCs w:val="32"/>
        </w:rPr>
      </w:pPr>
      <w:r>
        <w:rPr>
          <w:rFonts w:hint="eastAsia"/>
        </w:rPr>
        <w:t xml:space="preserve">                           </w:t>
      </w:r>
      <w:r w:rsidRPr="007F1B21">
        <w:rPr>
          <w:rFonts w:hint="eastAsia"/>
          <w:b/>
          <w:bCs/>
          <w:sz w:val="32"/>
          <w:szCs w:val="32"/>
        </w:rPr>
        <w:t xml:space="preserve"> 综合评议评分表</w:t>
      </w:r>
    </w:p>
    <w:tbl>
      <w:tblPr>
        <w:tblpPr w:leftFromText="180" w:rightFromText="180" w:horzAnchor="margin" w:tblpY="890"/>
        <w:tblW w:w="87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0"/>
        <w:gridCol w:w="1570"/>
        <w:gridCol w:w="4690"/>
        <w:gridCol w:w="1530"/>
      </w:tblGrid>
      <w:tr w:rsidR="000251DF" w14:paraId="35D8ECC6" w14:textId="198147A8" w:rsidTr="00027D40">
        <w:trPr>
          <w:trHeight w:val="411"/>
        </w:trPr>
        <w:tc>
          <w:tcPr>
            <w:tcW w:w="2490" w:type="dxa"/>
            <w:gridSpan w:val="2"/>
            <w:vAlign w:val="center"/>
          </w:tcPr>
          <w:p w14:paraId="7DEADACD" w14:textId="4954720E" w:rsidR="000251DF" w:rsidRDefault="00CB5DE9" w:rsidP="006B5E2F">
            <w:pPr>
              <w:jc w:val="center"/>
            </w:pPr>
            <w:r>
              <w:rPr>
                <w:rFonts w:hint="eastAsia"/>
              </w:rPr>
              <w:t>评分事项</w:t>
            </w:r>
          </w:p>
        </w:tc>
        <w:tc>
          <w:tcPr>
            <w:tcW w:w="4690" w:type="dxa"/>
            <w:vAlign w:val="center"/>
          </w:tcPr>
          <w:p w14:paraId="4F3302AE" w14:textId="7CC73A67" w:rsidR="000251DF" w:rsidRDefault="00CB5DE9" w:rsidP="006B5E2F">
            <w:pPr>
              <w:jc w:val="center"/>
            </w:pPr>
            <w:r>
              <w:rPr>
                <w:rFonts w:hint="eastAsia"/>
              </w:rPr>
              <w:t>评分标准</w:t>
            </w:r>
          </w:p>
        </w:tc>
        <w:tc>
          <w:tcPr>
            <w:tcW w:w="1530" w:type="dxa"/>
            <w:vAlign w:val="center"/>
          </w:tcPr>
          <w:p w14:paraId="0FA6C7FC" w14:textId="62C416BB" w:rsidR="000251DF" w:rsidRDefault="00CB5DE9" w:rsidP="006B5E2F">
            <w:pPr>
              <w:jc w:val="center"/>
            </w:pPr>
            <w:r>
              <w:rPr>
                <w:rFonts w:hint="eastAsia"/>
              </w:rPr>
              <w:t>单项分值</w:t>
            </w:r>
          </w:p>
        </w:tc>
      </w:tr>
      <w:tr w:rsidR="000251DF" w14:paraId="2DF7288C" w14:textId="03CAA2A3" w:rsidTr="00CB5DE9">
        <w:trPr>
          <w:trHeight w:val="2060"/>
        </w:trPr>
        <w:tc>
          <w:tcPr>
            <w:tcW w:w="920" w:type="dxa"/>
            <w:vMerge w:val="restart"/>
            <w:textDirection w:val="tbRlV"/>
          </w:tcPr>
          <w:p w14:paraId="4A2FFC84" w14:textId="4A483ED8" w:rsidR="000251DF" w:rsidRDefault="00CB5DE9" w:rsidP="00CB5DE9">
            <w:pPr>
              <w:ind w:left="113" w:right="113"/>
              <w:jc w:val="center"/>
            </w:pPr>
            <w:r>
              <w:rPr>
                <w:rFonts w:hint="eastAsia"/>
              </w:rPr>
              <w:t>评分内容</w:t>
            </w:r>
          </w:p>
        </w:tc>
        <w:tc>
          <w:tcPr>
            <w:tcW w:w="1570" w:type="dxa"/>
            <w:vMerge w:val="restart"/>
          </w:tcPr>
          <w:p w14:paraId="754DE745" w14:textId="77777777" w:rsidR="00CB5DE9" w:rsidRDefault="00CB5DE9" w:rsidP="00CB5DE9">
            <w:pPr>
              <w:jc w:val="center"/>
            </w:pPr>
          </w:p>
          <w:p w14:paraId="5C516F81" w14:textId="77777777" w:rsidR="00CB5DE9" w:rsidRDefault="00CB5DE9" w:rsidP="00CB5DE9">
            <w:pPr>
              <w:jc w:val="center"/>
            </w:pPr>
          </w:p>
          <w:p w14:paraId="2AEE2CC7" w14:textId="77777777" w:rsidR="00CB5DE9" w:rsidRDefault="00CB5DE9" w:rsidP="00CB5DE9">
            <w:pPr>
              <w:jc w:val="center"/>
            </w:pPr>
          </w:p>
          <w:p w14:paraId="2AB17EE7" w14:textId="77777777" w:rsidR="00CB5DE9" w:rsidRDefault="00CB5DE9" w:rsidP="00CB5DE9">
            <w:pPr>
              <w:jc w:val="center"/>
            </w:pPr>
          </w:p>
          <w:p w14:paraId="14385DE8" w14:textId="77777777" w:rsidR="00CB5DE9" w:rsidRDefault="00CB5DE9" w:rsidP="00CB5DE9">
            <w:pPr>
              <w:jc w:val="center"/>
            </w:pPr>
          </w:p>
          <w:p w14:paraId="0B8C7527" w14:textId="765E2182" w:rsidR="000251DF" w:rsidRDefault="00CB5DE9" w:rsidP="00CB5DE9">
            <w:pPr>
              <w:jc w:val="center"/>
            </w:pPr>
            <w:r>
              <w:rPr>
                <w:rFonts w:hint="eastAsia"/>
              </w:rPr>
              <w:t>履约能力</w:t>
            </w:r>
          </w:p>
        </w:tc>
        <w:tc>
          <w:tcPr>
            <w:tcW w:w="4690" w:type="dxa"/>
          </w:tcPr>
          <w:p w14:paraId="6AD39478" w14:textId="1DD97DCA" w:rsidR="000251DF" w:rsidRDefault="00CB5DE9" w:rsidP="007F1B21">
            <w:r>
              <w:rPr>
                <w:rFonts w:hint="eastAsia"/>
              </w:rPr>
              <w:t>意</w:t>
            </w:r>
            <w:bookmarkStart w:id="0" w:name="_GoBack"/>
            <w:bookmarkEnd w:id="0"/>
            <w:r>
              <w:rPr>
                <w:rFonts w:hint="eastAsia"/>
              </w:rPr>
              <w:t>向承租方信誉情况：在国家企业信用信息公示系统查询，无行政处罚信息记录、未被列入经营异常名录、违背列入严重违法失信企业名单（黑名单）的得</w:t>
            </w:r>
            <w:r w:rsidR="00F846DA">
              <w:rPr>
                <w:rFonts w:hint="eastAsia"/>
              </w:rPr>
              <w:t>5</w:t>
            </w:r>
            <w:r>
              <w:rPr>
                <w:rFonts w:hint="eastAsia"/>
              </w:rPr>
              <w:t>分，有其中任何一项不良记录的得0分。</w:t>
            </w:r>
          </w:p>
          <w:p w14:paraId="72C4A9C9" w14:textId="05DDD470" w:rsidR="00CB5DE9" w:rsidRDefault="00CB5DE9" w:rsidP="007F1B21">
            <w:r>
              <w:rPr>
                <w:rFonts w:hint="eastAsia"/>
              </w:rPr>
              <w:t>注：以意向承租方在国家企业信用信息公示系统信用查询记录为准（复印件加盖意向承租方公章）</w:t>
            </w:r>
          </w:p>
        </w:tc>
        <w:tc>
          <w:tcPr>
            <w:tcW w:w="1530" w:type="dxa"/>
          </w:tcPr>
          <w:p w14:paraId="30136BFB" w14:textId="77777777" w:rsidR="00CB5DE9" w:rsidRDefault="00CB5DE9" w:rsidP="00CB5DE9">
            <w:pPr>
              <w:jc w:val="center"/>
            </w:pPr>
          </w:p>
          <w:p w14:paraId="6062A2DB" w14:textId="77777777" w:rsidR="00CB5DE9" w:rsidRDefault="00CB5DE9" w:rsidP="00CB5DE9">
            <w:pPr>
              <w:jc w:val="center"/>
            </w:pPr>
          </w:p>
          <w:p w14:paraId="0FCE0BDA" w14:textId="29482F94" w:rsidR="000251DF" w:rsidRDefault="00F846DA" w:rsidP="00CB5DE9">
            <w:pPr>
              <w:jc w:val="center"/>
            </w:pPr>
            <w:r>
              <w:rPr>
                <w:rFonts w:hint="eastAsia"/>
              </w:rPr>
              <w:t>5</w:t>
            </w:r>
            <w:r w:rsidR="00CB5DE9">
              <w:rPr>
                <w:rFonts w:hint="eastAsia"/>
              </w:rPr>
              <w:t>分</w:t>
            </w:r>
          </w:p>
        </w:tc>
      </w:tr>
      <w:tr w:rsidR="000251DF" w14:paraId="12C53E7B" w14:textId="77777777" w:rsidTr="00CB5DE9">
        <w:trPr>
          <w:trHeight w:val="2434"/>
        </w:trPr>
        <w:tc>
          <w:tcPr>
            <w:tcW w:w="920" w:type="dxa"/>
            <w:vMerge/>
          </w:tcPr>
          <w:p w14:paraId="6F0EA66F" w14:textId="77777777" w:rsidR="000251DF" w:rsidRDefault="000251DF" w:rsidP="007F1B21"/>
        </w:tc>
        <w:tc>
          <w:tcPr>
            <w:tcW w:w="1570" w:type="dxa"/>
            <w:vMerge/>
          </w:tcPr>
          <w:p w14:paraId="2013DBEC" w14:textId="77777777" w:rsidR="000251DF" w:rsidRDefault="000251DF" w:rsidP="007F1B21"/>
        </w:tc>
        <w:tc>
          <w:tcPr>
            <w:tcW w:w="4690" w:type="dxa"/>
          </w:tcPr>
          <w:p w14:paraId="61FA0EB5" w14:textId="2A79096F" w:rsidR="000251DF" w:rsidRDefault="00CB5DE9" w:rsidP="007F1B21">
            <w:r>
              <w:rPr>
                <w:rFonts w:hint="eastAsia"/>
              </w:rPr>
              <w:t>意向承租方风险情况：在中国裁判</w:t>
            </w:r>
            <w:proofErr w:type="gramStart"/>
            <w:r>
              <w:rPr>
                <w:rFonts w:hint="eastAsia"/>
              </w:rPr>
              <w:t>文书网</w:t>
            </w:r>
            <w:proofErr w:type="gramEnd"/>
            <w:r>
              <w:rPr>
                <w:rFonts w:hint="eastAsia"/>
              </w:rPr>
              <w:t>查询，无刑事案件、民事案件、行政案件、赔偿案件、执行案件以及其他案件信息记录的得</w:t>
            </w:r>
            <w:r w:rsidR="00F46037">
              <w:rPr>
                <w:rFonts w:hint="eastAsia"/>
              </w:rPr>
              <w:t>5</w:t>
            </w:r>
            <w:r>
              <w:rPr>
                <w:rFonts w:hint="eastAsia"/>
              </w:rPr>
              <w:t>分，有其中任何一项记录的，每一类扣1分</w:t>
            </w:r>
            <w:r w:rsidR="00F46037">
              <w:rPr>
                <w:rFonts w:hint="eastAsia"/>
              </w:rPr>
              <w:t>，最低扣至0分。</w:t>
            </w:r>
          </w:p>
          <w:p w14:paraId="34E8C048" w14:textId="58D0400C" w:rsidR="00CB5DE9" w:rsidRDefault="00CB5DE9" w:rsidP="007F1B21">
            <w:r>
              <w:rPr>
                <w:rFonts w:hint="eastAsia"/>
              </w:rPr>
              <w:t>注：以意向承租方在中国裁判</w:t>
            </w:r>
            <w:proofErr w:type="gramStart"/>
            <w:r>
              <w:rPr>
                <w:rFonts w:hint="eastAsia"/>
              </w:rPr>
              <w:t>文书网</w:t>
            </w:r>
            <w:proofErr w:type="gramEnd"/>
            <w:r>
              <w:rPr>
                <w:rFonts w:hint="eastAsia"/>
              </w:rPr>
              <w:t>网站截图为准（截图加盖意向承租方公章）</w:t>
            </w:r>
          </w:p>
        </w:tc>
        <w:tc>
          <w:tcPr>
            <w:tcW w:w="1530" w:type="dxa"/>
          </w:tcPr>
          <w:p w14:paraId="0A61AF02" w14:textId="77777777" w:rsidR="00CB5DE9" w:rsidRDefault="00CB5DE9" w:rsidP="007F1B21"/>
          <w:p w14:paraId="3559650B" w14:textId="77777777" w:rsidR="00CB5DE9" w:rsidRDefault="00CB5DE9" w:rsidP="007F1B21"/>
          <w:p w14:paraId="602551F0" w14:textId="6A3FB7EB" w:rsidR="000251DF" w:rsidRDefault="00F846DA" w:rsidP="00CB5DE9">
            <w:pPr>
              <w:ind w:firstLineChars="200" w:firstLine="440"/>
            </w:pPr>
            <w:r>
              <w:rPr>
                <w:rFonts w:hint="eastAsia"/>
              </w:rPr>
              <w:t>5</w:t>
            </w:r>
            <w:r w:rsidR="00CB5DE9">
              <w:rPr>
                <w:rFonts w:hint="eastAsia"/>
              </w:rPr>
              <w:t>分</w:t>
            </w:r>
          </w:p>
        </w:tc>
      </w:tr>
      <w:tr w:rsidR="000251DF" w14:paraId="7A677F48" w14:textId="77777777" w:rsidTr="007F1B21">
        <w:trPr>
          <w:trHeight w:val="2940"/>
        </w:trPr>
        <w:tc>
          <w:tcPr>
            <w:tcW w:w="920" w:type="dxa"/>
            <w:vMerge/>
          </w:tcPr>
          <w:p w14:paraId="23A664F7" w14:textId="77777777" w:rsidR="000251DF" w:rsidRDefault="000251DF" w:rsidP="007F1B21"/>
        </w:tc>
        <w:tc>
          <w:tcPr>
            <w:tcW w:w="1570" w:type="dxa"/>
            <w:vMerge w:val="restart"/>
          </w:tcPr>
          <w:p w14:paraId="56E31A10" w14:textId="77777777" w:rsidR="00CB5DE9" w:rsidRDefault="00CB5DE9" w:rsidP="007F1B21"/>
          <w:p w14:paraId="7F9BB685" w14:textId="77777777" w:rsidR="00CB5DE9" w:rsidRDefault="00CB5DE9" w:rsidP="007F1B21"/>
          <w:p w14:paraId="4AA09557" w14:textId="77777777" w:rsidR="00CB5DE9" w:rsidRDefault="00CB5DE9" w:rsidP="007F1B21"/>
          <w:p w14:paraId="19E916A3" w14:textId="77777777" w:rsidR="00CB5DE9" w:rsidRDefault="00CB5DE9" w:rsidP="007F1B21"/>
          <w:p w14:paraId="50E3A6A3" w14:textId="77777777" w:rsidR="00CB5DE9" w:rsidRDefault="00CB5DE9" w:rsidP="007F1B21"/>
          <w:p w14:paraId="417C0C8E" w14:textId="3C7CCE2F" w:rsidR="000251DF" w:rsidRDefault="006C16C5" w:rsidP="007F1B21">
            <w:r>
              <w:rPr>
                <w:rFonts w:hint="eastAsia"/>
              </w:rPr>
              <w:t>企业</w:t>
            </w:r>
            <w:r w:rsidR="00CB5DE9">
              <w:rPr>
                <w:rFonts w:hint="eastAsia"/>
              </w:rPr>
              <w:t>实力</w:t>
            </w:r>
          </w:p>
        </w:tc>
        <w:tc>
          <w:tcPr>
            <w:tcW w:w="4690" w:type="dxa"/>
          </w:tcPr>
          <w:p w14:paraId="7784D698" w14:textId="77777777" w:rsidR="000251DF" w:rsidRDefault="00F8307F" w:rsidP="007F1B21">
            <w:r>
              <w:rPr>
                <w:rFonts w:hint="eastAsia"/>
              </w:rPr>
              <w:t>意向承租方注册资金：</w:t>
            </w:r>
          </w:p>
          <w:p w14:paraId="4190765F" w14:textId="7E788462" w:rsidR="00F8307F" w:rsidRDefault="00F8307F" w:rsidP="007F1B21">
            <w:r>
              <w:rPr>
                <w:rFonts w:hint="eastAsia"/>
              </w:rPr>
              <w:t>注册资金在100（含）万元以上，200万元（不含）以下的得</w:t>
            </w:r>
            <w:r w:rsidR="00F846DA">
              <w:rPr>
                <w:rFonts w:hint="eastAsia"/>
              </w:rPr>
              <w:t>5</w:t>
            </w:r>
            <w:r>
              <w:rPr>
                <w:rFonts w:hint="eastAsia"/>
              </w:rPr>
              <w:t>分；</w:t>
            </w:r>
          </w:p>
          <w:p w14:paraId="48B9D8B2" w14:textId="007D6317" w:rsidR="00F8307F" w:rsidRDefault="00F8307F" w:rsidP="007F1B21">
            <w:r>
              <w:rPr>
                <w:rFonts w:hint="eastAsia"/>
              </w:rPr>
              <w:t>注册资金在200万元（含）以上得</w:t>
            </w:r>
            <w:r w:rsidR="00F846DA">
              <w:rPr>
                <w:rFonts w:hint="eastAsia"/>
              </w:rPr>
              <w:t>10</w:t>
            </w:r>
            <w:r>
              <w:rPr>
                <w:rFonts w:hint="eastAsia"/>
              </w:rPr>
              <w:t>分。</w:t>
            </w:r>
          </w:p>
          <w:p w14:paraId="4EFA7F99" w14:textId="5E3CDAD3" w:rsidR="00F8307F" w:rsidRDefault="00F8307F" w:rsidP="007F1B21">
            <w:r>
              <w:rPr>
                <w:rFonts w:hint="eastAsia"/>
              </w:rPr>
              <w:t>注：以意向承租方的营业执照记载为准（复印件加盖意向承租方公章）</w:t>
            </w:r>
          </w:p>
        </w:tc>
        <w:tc>
          <w:tcPr>
            <w:tcW w:w="1530" w:type="dxa"/>
          </w:tcPr>
          <w:p w14:paraId="7BF47731" w14:textId="77777777" w:rsidR="00F8307F" w:rsidRDefault="00F8307F" w:rsidP="007F1B21"/>
          <w:p w14:paraId="0DD1C499" w14:textId="77777777" w:rsidR="00F8307F" w:rsidRDefault="00F8307F" w:rsidP="007F1B21"/>
          <w:p w14:paraId="7AFDEC84" w14:textId="1308EFED" w:rsidR="000251DF" w:rsidRDefault="00F846DA" w:rsidP="00F8307F">
            <w:pPr>
              <w:ind w:firstLineChars="200" w:firstLine="440"/>
            </w:pPr>
            <w:r>
              <w:rPr>
                <w:rFonts w:hint="eastAsia"/>
              </w:rPr>
              <w:t>10</w:t>
            </w:r>
            <w:r w:rsidR="00F8307F">
              <w:rPr>
                <w:rFonts w:hint="eastAsia"/>
              </w:rPr>
              <w:t>分</w:t>
            </w:r>
          </w:p>
        </w:tc>
      </w:tr>
      <w:tr w:rsidR="000251DF" w14:paraId="516E667B" w14:textId="77777777" w:rsidTr="007F1B21">
        <w:trPr>
          <w:trHeight w:val="3350"/>
        </w:trPr>
        <w:tc>
          <w:tcPr>
            <w:tcW w:w="920" w:type="dxa"/>
            <w:vMerge/>
          </w:tcPr>
          <w:p w14:paraId="2B318F54" w14:textId="77777777" w:rsidR="000251DF" w:rsidRDefault="000251DF" w:rsidP="007F1B21"/>
        </w:tc>
        <w:tc>
          <w:tcPr>
            <w:tcW w:w="1570" w:type="dxa"/>
            <w:vMerge/>
          </w:tcPr>
          <w:p w14:paraId="2754641B" w14:textId="77777777" w:rsidR="000251DF" w:rsidRDefault="000251DF" w:rsidP="007F1B21"/>
        </w:tc>
        <w:tc>
          <w:tcPr>
            <w:tcW w:w="4690" w:type="dxa"/>
          </w:tcPr>
          <w:p w14:paraId="0C8CD73D" w14:textId="7028738C" w:rsidR="000251DF" w:rsidRDefault="006C16C5" w:rsidP="007F1B21">
            <w:r>
              <w:rPr>
                <w:rFonts w:hint="eastAsia"/>
              </w:rPr>
              <w:t>运营经验：</w:t>
            </w:r>
          </w:p>
          <w:p w14:paraId="72AD383C" w14:textId="77777777" w:rsidR="006C16C5" w:rsidRDefault="006C16C5" w:rsidP="007F1B21">
            <w:r>
              <w:rPr>
                <w:rFonts w:hint="eastAsia"/>
              </w:rPr>
              <w:t>意向承租方提供咖啡馆、时尚饮品销售、</w:t>
            </w:r>
            <w:proofErr w:type="gramStart"/>
            <w:r>
              <w:rPr>
                <w:rFonts w:hint="eastAsia"/>
              </w:rPr>
              <w:t>快消品</w:t>
            </w:r>
            <w:proofErr w:type="gramEnd"/>
            <w:r>
              <w:rPr>
                <w:rFonts w:hint="eastAsia"/>
              </w:rPr>
              <w:t>运营等行业的成功运营案例。每提供一个有效案例得2分，最高本项得10分。</w:t>
            </w:r>
          </w:p>
          <w:p w14:paraId="6B912A6F" w14:textId="1D9A7C4C" w:rsidR="006C16C5" w:rsidRPr="006C16C5" w:rsidRDefault="006C16C5" w:rsidP="007F1B21">
            <w:r>
              <w:rPr>
                <w:rFonts w:hint="eastAsia"/>
              </w:rPr>
              <w:t>注：提供案例运营合同和运营场地租赁合同复印件等佐证材料（须包含运营面积），加盖意向承租方公章。</w:t>
            </w:r>
          </w:p>
        </w:tc>
        <w:tc>
          <w:tcPr>
            <w:tcW w:w="1530" w:type="dxa"/>
          </w:tcPr>
          <w:p w14:paraId="4EE8EA3C" w14:textId="77777777" w:rsidR="006C16C5" w:rsidRDefault="006C16C5" w:rsidP="007F1B21"/>
          <w:p w14:paraId="2F8ED4AA" w14:textId="77777777" w:rsidR="006C16C5" w:rsidRDefault="006C16C5" w:rsidP="007F1B21"/>
          <w:p w14:paraId="1BEDF292" w14:textId="77777777" w:rsidR="006C16C5" w:rsidRDefault="006C16C5" w:rsidP="007F1B21"/>
          <w:p w14:paraId="3B15E13B" w14:textId="15814983" w:rsidR="000251DF" w:rsidRPr="006C16C5" w:rsidRDefault="006C16C5" w:rsidP="006C16C5">
            <w:pPr>
              <w:ind w:firstLineChars="200" w:firstLine="440"/>
            </w:pPr>
            <w:r>
              <w:rPr>
                <w:rFonts w:hint="eastAsia"/>
              </w:rPr>
              <w:t>10分</w:t>
            </w:r>
          </w:p>
        </w:tc>
      </w:tr>
      <w:tr w:rsidR="000251DF" w14:paraId="7E27E4C2" w14:textId="77777777" w:rsidTr="007F1B21">
        <w:trPr>
          <w:trHeight w:val="1580"/>
        </w:trPr>
        <w:tc>
          <w:tcPr>
            <w:tcW w:w="920" w:type="dxa"/>
            <w:vMerge/>
          </w:tcPr>
          <w:p w14:paraId="10F76ED3" w14:textId="77777777" w:rsidR="000251DF" w:rsidRDefault="000251DF" w:rsidP="007F1B21"/>
        </w:tc>
        <w:tc>
          <w:tcPr>
            <w:tcW w:w="1570" w:type="dxa"/>
          </w:tcPr>
          <w:p w14:paraId="1264CF98" w14:textId="77777777" w:rsidR="006C16C5" w:rsidRDefault="006C16C5" w:rsidP="007F1B21"/>
          <w:p w14:paraId="7F635D1B" w14:textId="2745FAEA" w:rsidR="000251DF" w:rsidRDefault="006C16C5" w:rsidP="007F1B21">
            <w:r>
              <w:rPr>
                <w:rFonts w:hint="eastAsia"/>
              </w:rPr>
              <w:t>与新华书店经营协同能力</w:t>
            </w:r>
          </w:p>
        </w:tc>
        <w:tc>
          <w:tcPr>
            <w:tcW w:w="4690" w:type="dxa"/>
          </w:tcPr>
          <w:p w14:paraId="1AB5416F" w14:textId="746C3821" w:rsidR="000251DF" w:rsidRDefault="003D38F8" w:rsidP="007F1B21">
            <w:r>
              <w:rPr>
                <w:rFonts w:hint="eastAsia"/>
              </w:rPr>
              <w:t>意向承租方所从事的经营范围符合新华书店的经营方向，能够相互协同发展，发挥各自的品牌和资源优势</w:t>
            </w:r>
            <w:r w:rsidR="00D21BA1">
              <w:rPr>
                <w:rFonts w:hint="eastAsia"/>
              </w:rPr>
              <w:t>互补共赢。完全协同：计20分 一般协同：计10分 完全</w:t>
            </w:r>
            <w:proofErr w:type="gramStart"/>
            <w:r w:rsidR="00D21BA1">
              <w:rPr>
                <w:rFonts w:hint="eastAsia"/>
              </w:rPr>
              <w:t>不</w:t>
            </w:r>
            <w:proofErr w:type="gramEnd"/>
            <w:r w:rsidR="00D21BA1">
              <w:rPr>
                <w:rFonts w:hint="eastAsia"/>
              </w:rPr>
              <w:t>协同：计0分。最高得分20分。</w:t>
            </w:r>
          </w:p>
          <w:p w14:paraId="21F7C773" w14:textId="7820BA14" w:rsidR="00D21BA1" w:rsidRDefault="00D21BA1" w:rsidP="007F1B21">
            <w:r>
              <w:rPr>
                <w:rFonts w:hint="eastAsia"/>
              </w:rPr>
              <w:t>注：提供客流量证明材料并加盖公章。</w:t>
            </w:r>
          </w:p>
        </w:tc>
        <w:tc>
          <w:tcPr>
            <w:tcW w:w="1530" w:type="dxa"/>
          </w:tcPr>
          <w:p w14:paraId="2A9CEF97" w14:textId="77777777" w:rsidR="00D21BA1" w:rsidRDefault="00D21BA1" w:rsidP="007F1B21"/>
          <w:p w14:paraId="5DE5966E" w14:textId="77777777" w:rsidR="00D21BA1" w:rsidRDefault="00D21BA1" w:rsidP="007F1B21"/>
          <w:p w14:paraId="39AB5D52" w14:textId="61A04E38" w:rsidR="000251DF" w:rsidRDefault="00D21BA1" w:rsidP="00D21BA1">
            <w:pPr>
              <w:ind w:firstLineChars="200" w:firstLine="440"/>
            </w:pPr>
            <w:r>
              <w:rPr>
                <w:rFonts w:hint="eastAsia"/>
              </w:rPr>
              <w:t>20分</w:t>
            </w:r>
          </w:p>
        </w:tc>
      </w:tr>
      <w:tr w:rsidR="009906AC" w14:paraId="2E7A564A" w14:textId="77777777" w:rsidTr="007F1B21">
        <w:trPr>
          <w:trHeight w:val="1580"/>
        </w:trPr>
        <w:tc>
          <w:tcPr>
            <w:tcW w:w="920" w:type="dxa"/>
          </w:tcPr>
          <w:p w14:paraId="7BCD4C57" w14:textId="77777777" w:rsidR="009906AC" w:rsidRDefault="009906AC" w:rsidP="007F1B21"/>
        </w:tc>
        <w:tc>
          <w:tcPr>
            <w:tcW w:w="1570" w:type="dxa"/>
          </w:tcPr>
          <w:p w14:paraId="6AF8F079" w14:textId="77777777" w:rsidR="00935AF3" w:rsidRDefault="00935AF3" w:rsidP="007F1B21"/>
          <w:p w14:paraId="0DF6B253" w14:textId="0286084C" w:rsidR="009906AC" w:rsidRDefault="00935AF3" w:rsidP="00935AF3">
            <w:pPr>
              <w:ind w:firstLineChars="100" w:firstLine="220"/>
            </w:pPr>
            <w:r>
              <w:rPr>
                <w:rFonts w:hint="eastAsia"/>
              </w:rPr>
              <w:t>租金报价</w:t>
            </w:r>
          </w:p>
        </w:tc>
        <w:tc>
          <w:tcPr>
            <w:tcW w:w="4690" w:type="dxa"/>
          </w:tcPr>
          <w:p w14:paraId="6E5DDE96" w14:textId="40058933" w:rsidR="009906AC" w:rsidRDefault="00ED750C" w:rsidP="007F1B21">
            <w:r>
              <w:rPr>
                <w:rFonts w:hint="eastAsia"/>
              </w:rPr>
              <w:t>对各意向承租方</w:t>
            </w:r>
            <w:r w:rsidR="005A6CCC">
              <w:rPr>
                <w:rFonts w:hint="eastAsia"/>
              </w:rPr>
              <w:t>在</w:t>
            </w:r>
            <w:r w:rsidR="006238DA">
              <w:rPr>
                <w:rFonts w:hint="eastAsia"/>
              </w:rPr>
              <w:t>产权交易</w:t>
            </w:r>
            <w:r w:rsidR="005A6CCC">
              <w:rPr>
                <w:rFonts w:hint="eastAsia"/>
              </w:rPr>
              <w:t>竞价系统中</w:t>
            </w:r>
            <w:r w:rsidR="001037B0">
              <w:rPr>
                <w:rFonts w:hint="eastAsia"/>
              </w:rPr>
              <w:t>的有效报价按照从高到低进行排序，最高有效报价得</w:t>
            </w:r>
            <w:r w:rsidR="00800E55">
              <w:rPr>
                <w:rFonts w:hint="eastAsia"/>
              </w:rPr>
              <w:t>50分，第二名得分40分、第三名得分30分，以此类推，最低得分10分。</w:t>
            </w:r>
          </w:p>
          <w:p w14:paraId="4C23D26C" w14:textId="53FE4E54" w:rsidR="00E562D1" w:rsidRDefault="00E562D1" w:rsidP="007F1B21">
            <w:r>
              <w:rPr>
                <w:rFonts w:hint="eastAsia"/>
              </w:rPr>
              <w:t>注：无论采用哪种租金支付方式，均需</w:t>
            </w:r>
            <w:r w:rsidR="00905C34">
              <w:rPr>
                <w:rFonts w:hint="eastAsia"/>
              </w:rPr>
              <w:t>按统一口径</w:t>
            </w:r>
            <w:r>
              <w:rPr>
                <w:rFonts w:hint="eastAsia"/>
              </w:rPr>
              <w:t>折算为</w:t>
            </w:r>
            <w:r w:rsidR="00905C34" w:rsidRPr="00905C34">
              <w:rPr>
                <w:rFonts w:ascii="微软雅黑" w:eastAsia="微软雅黑" w:hAnsi="微软雅黑" w:cs="微软雅黑" w:hint="eastAsia"/>
                <w:kern w:val="0"/>
                <w:sz w:val="21"/>
                <w:szCs w:val="21"/>
                <w:u w:val="single"/>
                <w14:ligatures w14:val="none"/>
              </w:rPr>
              <w:t xml:space="preserve"> </w:t>
            </w:r>
            <w:r w:rsidR="00905C34" w:rsidRPr="00905C34">
              <w:rPr>
                <w:rFonts w:ascii="微软雅黑" w:eastAsia="微软雅黑" w:hAnsi="微软雅黑" w:cs="微软雅黑"/>
                <w:kern w:val="0"/>
                <w:sz w:val="21"/>
                <w:szCs w:val="21"/>
                <w:u w:val="single"/>
                <w14:ligatures w14:val="none"/>
              </w:rPr>
              <w:t>85.9</w:t>
            </w:r>
            <w:r w:rsidR="00905C34" w:rsidRPr="00905C34">
              <w:rPr>
                <w:rFonts w:ascii="微软雅黑" w:eastAsia="微软雅黑" w:hAnsi="微软雅黑" w:cs="微软雅黑" w:hint="eastAsia"/>
                <w:kern w:val="0"/>
                <w:sz w:val="21"/>
                <w:szCs w:val="21"/>
                <w:u w:val="single"/>
                <w14:ligatures w14:val="none"/>
              </w:rPr>
              <w:t>1</w:t>
            </w:r>
            <w:r w:rsidR="00905C34" w:rsidRPr="00905C34">
              <w:rPr>
                <w:rFonts w:ascii="微软雅黑" w:eastAsia="微软雅黑" w:hAnsi="微软雅黑" w:cs="微软雅黑" w:hint="eastAsia"/>
                <w:kern w:val="0"/>
                <w:sz w:val="21"/>
                <w:szCs w:val="21"/>
                <w14:ligatures w14:val="none"/>
              </w:rPr>
              <w:t>元/</w:t>
            </w:r>
            <w:r w:rsidR="00905C34" w:rsidRPr="00905C34">
              <w:rPr>
                <w:rFonts w:ascii="宋体" w:eastAsia="宋体" w:hAnsi="宋体" w:cs="宋体" w:hint="eastAsia"/>
                <w:kern w:val="0"/>
                <w:sz w:val="21"/>
                <w:szCs w:val="21"/>
                <w14:ligatures w14:val="none"/>
              </w:rPr>
              <w:t>㎡</w:t>
            </w:r>
            <w:r w:rsidR="00905C34" w:rsidRPr="00905C34">
              <w:rPr>
                <w:rFonts w:ascii="微软雅黑" w:eastAsia="微软雅黑" w:hAnsi="微软雅黑" w:cs="微软雅黑" w:hint="eastAsia"/>
                <w:kern w:val="0"/>
                <w:sz w:val="21"/>
                <w:szCs w:val="21"/>
                <w14:ligatures w14:val="none"/>
              </w:rPr>
              <w:t>/月</w:t>
            </w:r>
            <w:r w:rsidR="00905C34">
              <w:rPr>
                <w:rFonts w:ascii="微软雅黑" w:eastAsia="微软雅黑" w:hAnsi="微软雅黑" w:cs="微软雅黑" w:hint="eastAsia"/>
                <w:kern w:val="0"/>
                <w:sz w:val="21"/>
                <w:szCs w:val="21"/>
                <w14:ligatures w14:val="none"/>
              </w:rPr>
              <w:t>，以此为唯一计量标准。低于此标准值的报价为无效报价，计0分。</w:t>
            </w:r>
          </w:p>
        </w:tc>
        <w:tc>
          <w:tcPr>
            <w:tcW w:w="1530" w:type="dxa"/>
          </w:tcPr>
          <w:p w14:paraId="538B1ACA" w14:textId="77777777" w:rsidR="00F46037" w:rsidRDefault="00F46037" w:rsidP="007F1B21"/>
          <w:p w14:paraId="3056C7DD" w14:textId="77777777" w:rsidR="005A6CCC" w:rsidRDefault="005A6CCC" w:rsidP="00F46037">
            <w:pPr>
              <w:ind w:firstLineChars="200" w:firstLine="440"/>
            </w:pPr>
          </w:p>
          <w:p w14:paraId="488B77DC" w14:textId="77777777" w:rsidR="005A6CCC" w:rsidRDefault="005A6CCC" w:rsidP="00F46037">
            <w:pPr>
              <w:ind w:firstLineChars="200" w:firstLine="440"/>
            </w:pPr>
          </w:p>
          <w:p w14:paraId="154C62E3" w14:textId="29822111" w:rsidR="009906AC" w:rsidRDefault="00F46037" w:rsidP="005A6CCC">
            <w:pPr>
              <w:ind w:firstLineChars="200" w:firstLine="440"/>
            </w:pPr>
            <w:r>
              <w:rPr>
                <w:rFonts w:hint="eastAsia"/>
              </w:rPr>
              <w:t>50分</w:t>
            </w:r>
          </w:p>
        </w:tc>
      </w:tr>
    </w:tbl>
    <w:p w14:paraId="1EF194AE" w14:textId="379234CD" w:rsidR="0033722A" w:rsidRDefault="0033722A" w:rsidP="007F1B21"/>
    <w:sectPr w:rsidR="003372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88EA76" w14:textId="77777777" w:rsidR="00F172FB" w:rsidRDefault="00F172FB" w:rsidP="003E7BAB">
      <w:pPr>
        <w:spacing w:after="0" w:line="240" w:lineRule="auto"/>
      </w:pPr>
      <w:r>
        <w:separator/>
      </w:r>
    </w:p>
  </w:endnote>
  <w:endnote w:type="continuationSeparator" w:id="0">
    <w:p w14:paraId="51B98787" w14:textId="77777777" w:rsidR="00F172FB" w:rsidRDefault="00F172FB" w:rsidP="003E7B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AFCEC0" w14:textId="77777777" w:rsidR="00F172FB" w:rsidRDefault="00F172FB" w:rsidP="003E7BAB">
      <w:pPr>
        <w:spacing w:after="0" w:line="240" w:lineRule="auto"/>
      </w:pPr>
      <w:r>
        <w:separator/>
      </w:r>
    </w:p>
  </w:footnote>
  <w:footnote w:type="continuationSeparator" w:id="0">
    <w:p w14:paraId="45D000FA" w14:textId="77777777" w:rsidR="00F172FB" w:rsidRDefault="00F172FB" w:rsidP="003E7BA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F37"/>
    <w:rsid w:val="000251DF"/>
    <w:rsid w:val="00027D40"/>
    <w:rsid w:val="001037B0"/>
    <w:rsid w:val="002259F5"/>
    <w:rsid w:val="0033722A"/>
    <w:rsid w:val="003D38F8"/>
    <w:rsid w:val="003E7BAB"/>
    <w:rsid w:val="003F44C6"/>
    <w:rsid w:val="005672A7"/>
    <w:rsid w:val="005A6CCC"/>
    <w:rsid w:val="006238DA"/>
    <w:rsid w:val="006B5E2F"/>
    <w:rsid w:val="006C16C5"/>
    <w:rsid w:val="007F1B21"/>
    <w:rsid w:val="00800E55"/>
    <w:rsid w:val="00877B08"/>
    <w:rsid w:val="00895181"/>
    <w:rsid w:val="00905C34"/>
    <w:rsid w:val="00935AF3"/>
    <w:rsid w:val="009906AC"/>
    <w:rsid w:val="00A60261"/>
    <w:rsid w:val="00C62A36"/>
    <w:rsid w:val="00CB5DE9"/>
    <w:rsid w:val="00D21BA1"/>
    <w:rsid w:val="00DD10F9"/>
    <w:rsid w:val="00E14F37"/>
    <w:rsid w:val="00E562D1"/>
    <w:rsid w:val="00E92045"/>
    <w:rsid w:val="00ED750C"/>
    <w:rsid w:val="00F172FB"/>
    <w:rsid w:val="00F46037"/>
    <w:rsid w:val="00F8307F"/>
    <w:rsid w:val="00F84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D021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E7BAB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E7BA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E7BAB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E7BA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E7BAB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E7BA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E7BAB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E7BA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B6EF3E-239E-4F42-8000-83A50D1576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睿 王</dc:creator>
  <cp:keywords/>
  <dc:description/>
  <cp:lastModifiedBy>隆晴</cp:lastModifiedBy>
  <cp:revision>7</cp:revision>
  <dcterms:created xsi:type="dcterms:W3CDTF">2024-06-30T15:20:00Z</dcterms:created>
  <dcterms:modified xsi:type="dcterms:W3CDTF">2024-07-05T09:26:00Z</dcterms:modified>
</cp:coreProperties>
</file>