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60" w:lineRule="atLeast"/>
        <w:rPr>
          <w:rFonts w:hint="eastAsia" w:ascii="宋体" w:hAnsi="宋体" w:eastAsia="宋体"/>
          <w:snapToGrid w:val="0"/>
          <w:kern w:val="0"/>
          <w:lang w:val="en-US" w:eastAsia="zh-CN"/>
        </w:rPr>
      </w:pPr>
      <w:bookmarkStart w:id="9" w:name="_GoBack"/>
      <w:bookmarkEnd w:id="9"/>
    </w:p>
    <w:p>
      <w:pPr>
        <w:spacing w:line="460" w:lineRule="atLeast"/>
        <w:rPr>
          <w:rFonts w:ascii="宋体" w:hAnsi="宋体"/>
          <w:snapToGrid w:val="0"/>
          <w:kern w:val="0"/>
        </w:rPr>
      </w:pPr>
    </w:p>
    <w:p>
      <w:pPr>
        <w:spacing w:line="460" w:lineRule="atLeast"/>
        <w:rPr>
          <w:rFonts w:ascii="宋体" w:hAnsi="宋体"/>
          <w:snapToGrid w:val="0"/>
          <w:kern w:val="0"/>
        </w:rPr>
      </w:pPr>
    </w:p>
    <w:p>
      <w:pPr>
        <w:spacing w:line="460" w:lineRule="atLeast"/>
        <w:rPr>
          <w:rFonts w:ascii="宋体" w:hAnsi="宋体"/>
          <w:snapToGrid w:val="0"/>
          <w:kern w:val="0"/>
        </w:rPr>
      </w:pPr>
    </w:p>
    <w:p>
      <w:pPr>
        <w:spacing w:line="460" w:lineRule="atLeast"/>
        <w:rPr>
          <w:rFonts w:ascii="宋体" w:hAnsi="宋体"/>
          <w:snapToGrid w:val="0"/>
          <w:kern w:val="0"/>
        </w:rPr>
      </w:pPr>
    </w:p>
    <w:p>
      <w:pPr>
        <w:spacing w:line="460" w:lineRule="atLeast"/>
        <w:rPr>
          <w:rFonts w:ascii="宋体" w:hAnsi="宋体"/>
          <w:snapToGrid w:val="0"/>
          <w:kern w:val="0"/>
        </w:rPr>
      </w:pPr>
    </w:p>
    <w:tbl>
      <w:tblPr>
        <w:tblStyle w:val="31"/>
        <w:tblW w:w="6840" w:type="dxa"/>
        <w:jc w:val="center"/>
        <w:tblInd w:w="0" w:type="dxa"/>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
      <w:tblGrid>
        <w:gridCol w:w="6840"/>
      </w:tblGrid>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PrEx>
        <w:trPr>
          <w:jc w:val="center"/>
        </w:trPr>
        <w:tc>
          <w:tcPr>
            <w:tcW w:w="6840" w:type="dxa"/>
          </w:tcPr>
          <w:p>
            <w:pPr>
              <w:adjustRightInd w:val="0"/>
              <w:snapToGrid w:val="0"/>
              <w:spacing w:before="156" w:beforeLines="50" w:after="156" w:afterLines="50" w:line="460" w:lineRule="atLeast"/>
              <w:jc w:val="center"/>
              <w:rPr>
                <w:rFonts w:ascii="宋体" w:hAnsi="宋体"/>
                <w:b/>
                <w:snapToGrid w:val="0"/>
                <w:kern w:val="0"/>
                <w:sz w:val="52"/>
                <w:szCs w:val="52"/>
              </w:rPr>
            </w:pPr>
            <w:r>
              <w:rPr>
                <w:rFonts w:hint="eastAsia" w:ascii="宋体" w:hAnsi="宋体"/>
                <w:b/>
                <w:snapToGrid w:val="0"/>
                <w:kern w:val="0"/>
                <w:sz w:val="52"/>
                <w:szCs w:val="52"/>
              </w:rPr>
              <w:t>长沙大眼仔旅游文化有限</w:t>
            </w:r>
          </w:p>
          <w:p>
            <w:pPr>
              <w:adjustRightInd w:val="0"/>
              <w:snapToGrid w:val="0"/>
              <w:spacing w:before="156" w:beforeLines="50" w:after="156" w:afterLines="50" w:line="460" w:lineRule="atLeast"/>
              <w:jc w:val="center"/>
              <w:rPr>
                <w:rFonts w:ascii="宋体" w:hAnsi="宋体"/>
                <w:b/>
                <w:snapToGrid w:val="0"/>
                <w:kern w:val="0"/>
                <w:sz w:val="52"/>
                <w:szCs w:val="52"/>
              </w:rPr>
            </w:pPr>
            <w:r>
              <w:rPr>
                <w:rFonts w:hint="eastAsia" w:ascii="宋体" w:hAnsi="宋体"/>
                <w:b/>
                <w:snapToGrid w:val="0"/>
                <w:kern w:val="0"/>
                <w:sz w:val="52"/>
                <w:szCs w:val="52"/>
              </w:rPr>
              <w:t>责任公司</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jc w:val="center"/>
        </w:trPr>
        <w:tc>
          <w:tcPr>
            <w:tcW w:w="6840" w:type="dxa"/>
          </w:tcPr>
          <w:p>
            <w:pPr>
              <w:adjustRightInd w:val="0"/>
              <w:snapToGrid w:val="0"/>
              <w:spacing w:before="156" w:beforeLines="50" w:after="156" w:afterLines="50" w:line="460" w:lineRule="atLeast"/>
              <w:jc w:val="center"/>
              <w:rPr>
                <w:rFonts w:ascii="宋体" w:hAnsi="宋体"/>
                <w:b/>
                <w:snapToGrid w:val="0"/>
                <w:kern w:val="0"/>
                <w:sz w:val="66"/>
                <w:szCs w:val="66"/>
              </w:rPr>
            </w:pPr>
            <w:r>
              <w:rPr>
                <w:rFonts w:hint="eastAsia" w:ascii="宋体" w:hAnsi="宋体"/>
                <w:b/>
                <w:snapToGrid w:val="0"/>
                <w:kern w:val="0"/>
                <w:sz w:val="66"/>
                <w:szCs w:val="66"/>
              </w:rPr>
              <w:t>审 计 报 告</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jc w:val="center"/>
        </w:trPr>
        <w:tc>
          <w:tcPr>
            <w:tcW w:w="6840" w:type="dxa"/>
          </w:tcPr>
          <w:p>
            <w:pPr>
              <w:adjustRightInd w:val="0"/>
              <w:snapToGrid w:val="0"/>
              <w:spacing w:before="156" w:beforeLines="50" w:after="156" w:afterLines="50" w:line="460" w:lineRule="atLeast"/>
              <w:jc w:val="center"/>
              <w:rPr>
                <w:rFonts w:ascii="宋体" w:hAnsi="宋体" w:cs="Arial"/>
                <w:b/>
                <w:snapToGrid w:val="0"/>
                <w:kern w:val="0"/>
                <w:sz w:val="32"/>
              </w:rPr>
            </w:pPr>
          </w:p>
        </w:tc>
      </w:tr>
    </w:tbl>
    <w:p>
      <w:pPr>
        <w:spacing w:line="460" w:lineRule="atLeast"/>
        <w:jc w:val="center"/>
        <w:rPr>
          <w:rFonts w:ascii="宋体" w:hAnsi="宋体"/>
          <w:snapToGrid w:val="0"/>
          <w:kern w:val="0"/>
        </w:rPr>
      </w:pPr>
    </w:p>
    <w:p>
      <w:pPr>
        <w:spacing w:line="460" w:lineRule="atLeast"/>
        <w:jc w:val="center"/>
        <w:rPr>
          <w:rFonts w:ascii="宋体" w:hAnsi="宋体"/>
          <w:snapToGrid w:val="0"/>
          <w:kern w:val="0"/>
        </w:rPr>
      </w:pPr>
    </w:p>
    <w:p>
      <w:pPr>
        <w:spacing w:line="460" w:lineRule="atLeast"/>
        <w:jc w:val="center"/>
        <w:rPr>
          <w:rFonts w:ascii="宋体" w:hAnsi="宋体"/>
          <w:snapToGrid w:val="0"/>
          <w:kern w:val="0"/>
        </w:rPr>
      </w:pPr>
    </w:p>
    <w:p>
      <w:pPr>
        <w:spacing w:line="460" w:lineRule="atLeast"/>
        <w:jc w:val="center"/>
        <w:rPr>
          <w:rFonts w:ascii="宋体" w:hAnsi="宋体"/>
          <w:snapToGrid w:val="0"/>
          <w:kern w:val="0"/>
        </w:rPr>
      </w:pPr>
    </w:p>
    <w:p>
      <w:pPr>
        <w:spacing w:line="460" w:lineRule="atLeast"/>
        <w:jc w:val="center"/>
        <w:rPr>
          <w:rFonts w:ascii="宋体" w:hAnsi="宋体"/>
          <w:snapToGrid w:val="0"/>
          <w:kern w:val="0"/>
        </w:rPr>
      </w:pPr>
    </w:p>
    <w:p>
      <w:pPr>
        <w:spacing w:line="460" w:lineRule="atLeast"/>
        <w:jc w:val="center"/>
        <w:rPr>
          <w:rFonts w:ascii="宋体" w:hAnsi="宋体"/>
          <w:snapToGrid w:val="0"/>
          <w:kern w:val="0"/>
        </w:rPr>
      </w:pPr>
    </w:p>
    <w:p>
      <w:pPr>
        <w:spacing w:line="460" w:lineRule="atLeast"/>
        <w:jc w:val="center"/>
        <w:rPr>
          <w:rFonts w:ascii="宋体" w:hAnsi="宋体"/>
          <w:snapToGrid w:val="0"/>
          <w:kern w:val="0"/>
        </w:rPr>
      </w:pPr>
    </w:p>
    <w:p>
      <w:pPr>
        <w:spacing w:line="460" w:lineRule="atLeast"/>
        <w:jc w:val="center"/>
        <w:rPr>
          <w:rFonts w:ascii="宋体" w:hAnsi="宋体"/>
          <w:snapToGrid w:val="0"/>
          <w:kern w:val="0"/>
        </w:rPr>
      </w:pPr>
    </w:p>
    <w:p>
      <w:pPr>
        <w:spacing w:line="460" w:lineRule="atLeast"/>
        <w:jc w:val="center"/>
        <w:rPr>
          <w:rFonts w:ascii="宋体" w:hAnsi="宋体"/>
          <w:snapToGrid w:val="0"/>
          <w:kern w:val="0"/>
        </w:rPr>
      </w:pPr>
    </w:p>
    <w:p>
      <w:pPr>
        <w:spacing w:line="460" w:lineRule="atLeast"/>
        <w:jc w:val="center"/>
        <w:rPr>
          <w:rFonts w:ascii="宋体" w:hAnsi="宋体"/>
          <w:snapToGrid w:val="0"/>
          <w:kern w:val="0"/>
        </w:rPr>
      </w:pPr>
    </w:p>
    <w:p>
      <w:pPr>
        <w:spacing w:line="460" w:lineRule="atLeast"/>
        <w:jc w:val="center"/>
        <w:rPr>
          <w:rFonts w:ascii="宋体" w:hAnsi="宋体"/>
          <w:snapToGrid w:val="0"/>
          <w:kern w:val="0"/>
        </w:rPr>
      </w:pPr>
    </w:p>
    <w:p>
      <w:pPr>
        <w:spacing w:line="460" w:lineRule="atLeast"/>
        <w:jc w:val="center"/>
        <w:rPr>
          <w:rFonts w:ascii="宋体" w:hAnsi="宋体"/>
          <w:snapToGrid w:val="0"/>
          <w:kern w:val="0"/>
        </w:rPr>
      </w:pPr>
    </w:p>
    <w:p>
      <w:pPr>
        <w:jc w:val="center"/>
        <w:rPr>
          <w:rFonts w:ascii="宋体" w:hAnsi="宋体"/>
          <w:b/>
          <w:bCs/>
          <w:snapToGrid w:val="0"/>
          <w:kern w:val="0"/>
          <w:sz w:val="36"/>
          <w:szCs w:val="36"/>
          <w:u w:val="single"/>
        </w:rPr>
      </w:pPr>
      <w:r>
        <w:rPr>
          <w:rFonts w:hint="eastAsia" w:ascii="宋体" w:hAnsi="宋体"/>
          <w:b/>
          <w:bCs/>
          <w:snapToGrid w:val="0"/>
          <w:kern w:val="0"/>
          <w:sz w:val="36"/>
          <w:szCs w:val="36"/>
          <w:u w:val="single"/>
        </w:rPr>
        <w:t>大信会计师事务所（特殊普通合伙）长沙分所</w:t>
      </w:r>
    </w:p>
    <w:p>
      <w:pPr>
        <w:jc w:val="center"/>
        <w:rPr>
          <w:rFonts w:ascii="宋体" w:hAnsi="宋体"/>
          <w:szCs w:val="24"/>
        </w:rPr>
      </w:pPr>
      <w:r>
        <w:rPr>
          <w:rFonts w:hint="eastAsia" w:ascii="宋体" w:hAnsi="宋体"/>
          <w:snapToGrid w:val="0"/>
          <w:kern w:val="0"/>
          <w:sz w:val="30"/>
          <w:szCs w:val="30"/>
        </w:rPr>
        <w:t>WUYIGE CERTIFIED PUBLIC ACCOUNTANTS LLP.</w:t>
      </w:r>
    </w:p>
    <w:p>
      <w:pPr>
        <w:pStyle w:val="24"/>
        <w:spacing w:before="0" w:beforeAutospacing="0" w:after="0" w:afterAutospacing="0" w:line="460" w:lineRule="atLeast"/>
        <w:jc w:val="center"/>
        <w:rPr>
          <w:rStyle w:val="27"/>
          <w:rFonts w:cs="宋体"/>
          <w:b w:val="0"/>
          <w:snapToGrid w:val="0"/>
          <w:sz w:val="36"/>
          <w:szCs w:val="36"/>
        </w:rPr>
        <w:sectPr>
          <w:headerReference r:id="rId3" w:type="default"/>
          <w:pgSz w:w="11906" w:h="16838"/>
          <w:pgMar w:top="1701" w:right="1701" w:bottom="1701" w:left="1701" w:header="851" w:footer="1134" w:gutter="0"/>
          <w:pgNumType w:fmt="numberInDash" w:start="1"/>
          <w:cols w:space="425" w:num="1"/>
          <w:docGrid w:type="lines" w:linePitch="312" w:charSpace="0"/>
        </w:sectPr>
      </w:pPr>
    </w:p>
    <w:p>
      <w:pPr>
        <w:pStyle w:val="24"/>
        <w:spacing w:before="0" w:beforeAutospacing="0" w:after="0" w:afterAutospacing="0" w:line="460" w:lineRule="atLeast"/>
        <w:jc w:val="center"/>
        <w:outlineLvl w:val="0"/>
        <w:rPr>
          <w:rStyle w:val="27"/>
          <w:rFonts w:ascii="黑体" w:eastAsia="黑体" w:cs="宋体"/>
          <w:b w:val="0"/>
          <w:snapToGrid w:val="0"/>
          <w:sz w:val="36"/>
          <w:szCs w:val="36"/>
        </w:rPr>
      </w:pPr>
      <w:r>
        <w:rPr>
          <w:rStyle w:val="27"/>
          <w:rFonts w:hint="eastAsia" w:ascii="黑体" w:eastAsia="黑体" w:cs="宋体"/>
          <w:b w:val="0"/>
          <w:snapToGrid w:val="0"/>
          <w:sz w:val="36"/>
          <w:szCs w:val="36"/>
        </w:rPr>
        <w:t>审  计  报  告</w:t>
      </w:r>
    </w:p>
    <w:p>
      <w:pPr>
        <w:pStyle w:val="24"/>
        <w:spacing w:before="0" w:beforeAutospacing="0" w:after="0" w:afterAutospacing="0" w:line="460" w:lineRule="atLeast"/>
        <w:jc w:val="center"/>
        <w:outlineLvl w:val="0"/>
        <w:rPr>
          <w:rStyle w:val="27"/>
          <w:rFonts w:cs="宋体"/>
          <w:b w:val="0"/>
          <w:snapToGrid w:val="0"/>
          <w:sz w:val="21"/>
          <w:szCs w:val="21"/>
        </w:rPr>
      </w:pPr>
    </w:p>
    <w:p>
      <w:pPr>
        <w:pStyle w:val="24"/>
        <w:spacing w:before="0" w:beforeAutospacing="0" w:after="0" w:afterAutospacing="0" w:line="460" w:lineRule="atLeast"/>
        <w:rPr>
          <w:snapToGrid w:val="0"/>
          <w:color w:val="0000FF"/>
          <w:sz w:val="21"/>
          <w:szCs w:val="21"/>
        </w:rPr>
      </w:pPr>
      <w:r>
        <w:rPr>
          <w:rFonts w:hint="eastAsia" w:cs="Times New Roman"/>
          <w:b/>
          <w:snapToGrid w:val="0"/>
          <w:color w:val="000000"/>
          <w:szCs w:val="21"/>
        </w:rPr>
        <w:t>长沙大眼仔旅游文化有限责任公司</w:t>
      </w:r>
      <w:r>
        <w:rPr>
          <w:rFonts w:hint="eastAsia"/>
          <w:b/>
          <w:snapToGrid w:val="0"/>
        </w:rPr>
        <w:t>全体股东：</w:t>
      </w:r>
      <w:r>
        <w:rPr>
          <w:snapToGrid w:val="0"/>
          <w:color w:val="0000FF"/>
          <w:sz w:val="21"/>
          <w:szCs w:val="21"/>
        </w:rPr>
        <w:t xml:space="preserve"> </w:t>
      </w:r>
    </w:p>
    <w:p>
      <w:pPr>
        <w:pStyle w:val="24"/>
        <w:adjustRightInd w:val="0"/>
        <w:snapToGrid w:val="0"/>
        <w:spacing w:line="460" w:lineRule="atLeast"/>
        <w:ind w:firstLine="480" w:firstLineChars="200"/>
        <w:rPr>
          <w:rFonts w:ascii="黑体" w:eastAsia="黑体"/>
          <w:snapToGrid w:val="0"/>
        </w:rPr>
      </w:pPr>
      <w:r>
        <w:rPr>
          <w:rFonts w:hint="eastAsia" w:ascii="黑体" w:eastAsia="黑体"/>
          <w:snapToGrid w:val="0"/>
        </w:rPr>
        <w:t>一、审计意见</w:t>
      </w:r>
    </w:p>
    <w:p>
      <w:pPr>
        <w:pStyle w:val="24"/>
        <w:adjustRightInd w:val="0"/>
        <w:snapToGrid w:val="0"/>
        <w:spacing w:before="0" w:beforeAutospacing="0" w:after="0" w:afterAutospacing="0" w:line="460" w:lineRule="atLeast"/>
        <w:ind w:firstLine="420"/>
        <w:jc w:val="both"/>
        <w:rPr>
          <w:snapToGrid w:val="0"/>
          <w:sz w:val="21"/>
          <w:szCs w:val="21"/>
        </w:rPr>
      </w:pPr>
      <w:r>
        <w:rPr>
          <w:rFonts w:hint="eastAsia"/>
          <w:snapToGrid w:val="0"/>
          <w:sz w:val="21"/>
          <w:szCs w:val="21"/>
        </w:rPr>
        <w:t>我们审计了长沙大眼仔旅游文化有限责任公司（以下简称“贵公司”）的财务报表，包括</w:t>
      </w:r>
      <w:r>
        <w:rPr>
          <w:snapToGrid w:val="0"/>
          <w:sz w:val="21"/>
          <w:szCs w:val="21"/>
        </w:rPr>
        <w:t>201</w:t>
      </w:r>
      <w:r>
        <w:rPr>
          <w:rFonts w:hint="eastAsia"/>
          <w:snapToGrid w:val="0"/>
          <w:sz w:val="21"/>
          <w:szCs w:val="21"/>
        </w:rPr>
        <w:t>7年12月31日的资产负债表，</w:t>
      </w:r>
      <w:r>
        <w:rPr>
          <w:snapToGrid w:val="0"/>
          <w:sz w:val="21"/>
          <w:szCs w:val="21"/>
        </w:rPr>
        <w:t>201</w:t>
      </w:r>
      <w:r>
        <w:rPr>
          <w:rFonts w:hint="eastAsia"/>
          <w:snapToGrid w:val="0"/>
          <w:sz w:val="21"/>
          <w:szCs w:val="21"/>
        </w:rPr>
        <w:t>7年度的利润表、现金流量表、股东权益变动表，以及财务报表附注。</w:t>
      </w:r>
    </w:p>
    <w:p>
      <w:pPr>
        <w:pStyle w:val="24"/>
        <w:adjustRightInd w:val="0"/>
        <w:snapToGrid w:val="0"/>
        <w:spacing w:before="0" w:beforeAutospacing="0" w:after="0" w:afterAutospacing="0" w:line="460" w:lineRule="atLeast"/>
        <w:ind w:firstLine="420"/>
        <w:jc w:val="both"/>
        <w:rPr>
          <w:snapToGrid w:val="0"/>
          <w:sz w:val="21"/>
          <w:szCs w:val="21"/>
        </w:rPr>
      </w:pPr>
      <w:r>
        <w:rPr>
          <w:rFonts w:hint="eastAsia"/>
          <w:snapToGrid w:val="0"/>
          <w:sz w:val="21"/>
          <w:szCs w:val="21"/>
        </w:rPr>
        <w:t>我们认为，后附的财务报表在所有重大方面按照企业会计准则的规定编制，公允反映了贵公司</w:t>
      </w:r>
      <w:r>
        <w:rPr>
          <w:snapToGrid w:val="0"/>
          <w:sz w:val="21"/>
          <w:szCs w:val="21"/>
        </w:rPr>
        <w:t>201</w:t>
      </w:r>
      <w:r>
        <w:rPr>
          <w:rFonts w:hint="eastAsia"/>
          <w:snapToGrid w:val="0"/>
          <w:sz w:val="21"/>
          <w:szCs w:val="21"/>
        </w:rPr>
        <w:t>7年12月31日的财务状况以及</w:t>
      </w:r>
      <w:r>
        <w:rPr>
          <w:snapToGrid w:val="0"/>
          <w:sz w:val="21"/>
          <w:szCs w:val="21"/>
        </w:rPr>
        <w:t>201</w:t>
      </w:r>
      <w:r>
        <w:rPr>
          <w:rFonts w:hint="eastAsia"/>
          <w:snapToGrid w:val="0"/>
          <w:sz w:val="21"/>
          <w:szCs w:val="21"/>
        </w:rPr>
        <w:t>7年度的经营成果和现金流量。</w:t>
      </w:r>
    </w:p>
    <w:p>
      <w:pPr>
        <w:pStyle w:val="24"/>
        <w:adjustRightInd w:val="0"/>
        <w:snapToGrid w:val="0"/>
        <w:spacing w:before="0" w:beforeAutospacing="0" w:after="0" w:afterAutospacing="0" w:line="460" w:lineRule="atLeast"/>
        <w:ind w:firstLine="420"/>
        <w:rPr>
          <w:snapToGrid w:val="0"/>
          <w:color w:val="0000FF"/>
          <w:sz w:val="21"/>
          <w:szCs w:val="21"/>
        </w:rPr>
      </w:pPr>
    </w:p>
    <w:p>
      <w:pPr>
        <w:pStyle w:val="24"/>
        <w:adjustRightInd w:val="0"/>
        <w:snapToGrid w:val="0"/>
        <w:spacing w:before="0" w:beforeAutospacing="0" w:after="0" w:afterAutospacing="0" w:line="460" w:lineRule="atLeast"/>
        <w:ind w:firstLine="420"/>
        <w:rPr>
          <w:rFonts w:ascii="黑体" w:eastAsia="黑体"/>
          <w:snapToGrid w:val="0"/>
        </w:rPr>
      </w:pPr>
      <w:r>
        <w:rPr>
          <w:rFonts w:hint="eastAsia" w:ascii="黑体" w:eastAsia="黑体"/>
          <w:snapToGrid w:val="0"/>
        </w:rPr>
        <w:t>二、形成审计意见的基础</w:t>
      </w:r>
    </w:p>
    <w:p>
      <w:pPr>
        <w:pStyle w:val="24"/>
        <w:adjustRightInd w:val="0"/>
        <w:snapToGrid w:val="0"/>
        <w:spacing w:before="0" w:beforeAutospacing="0" w:after="0" w:afterAutospacing="0" w:line="460" w:lineRule="atLeast"/>
        <w:ind w:firstLine="420"/>
        <w:jc w:val="both"/>
        <w:rPr>
          <w:snapToGrid w:val="0"/>
          <w:sz w:val="21"/>
          <w:szCs w:val="21"/>
        </w:rPr>
      </w:pPr>
      <w:r>
        <w:rPr>
          <w:rFonts w:hint="eastAsia"/>
          <w:snapToGrid w:val="0"/>
          <w:sz w:val="21"/>
          <w:szCs w:val="21"/>
        </w:rPr>
        <w:t>我们按照中国注册会计师审计准则的规定执行了审计工作。审计报告的“注册会计师对财务报表审计的责任”部分进一步阐述了我们在这些准则下的责任。按照中国注册会计师职业道德守则，我们独立于贵公司，并履行了职业道德方面的其他责任。</w:t>
      </w:r>
    </w:p>
    <w:p>
      <w:pPr>
        <w:pStyle w:val="24"/>
        <w:adjustRightInd w:val="0"/>
        <w:snapToGrid w:val="0"/>
        <w:spacing w:before="0" w:beforeAutospacing="0" w:after="0" w:afterAutospacing="0" w:line="460" w:lineRule="atLeast"/>
        <w:ind w:firstLine="420"/>
        <w:jc w:val="both"/>
        <w:rPr>
          <w:snapToGrid w:val="0"/>
          <w:sz w:val="21"/>
          <w:szCs w:val="21"/>
        </w:rPr>
      </w:pPr>
      <w:r>
        <w:rPr>
          <w:rFonts w:hint="eastAsia"/>
          <w:snapToGrid w:val="0"/>
          <w:sz w:val="21"/>
          <w:szCs w:val="21"/>
        </w:rPr>
        <w:t>我们相信，我们获取的审计证据是充分、适当的，为发表审计意见提供了基础。</w:t>
      </w:r>
    </w:p>
    <w:p>
      <w:pPr>
        <w:pStyle w:val="24"/>
        <w:adjustRightInd w:val="0"/>
        <w:snapToGrid w:val="0"/>
        <w:spacing w:before="0" w:beforeAutospacing="0" w:after="0" w:afterAutospacing="0" w:line="460" w:lineRule="atLeast"/>
        <w:ind w:firstLine="420"/>
        <w:rPr>
          <w:snapToGrid w:val="0"/>
          <w:sz w:val="21"/>
          <w:szCs w:val="21"/>
        </w:rPr>
      </w:pPr>
    </w:p>
    <w:p>
      <w:pPr>
        <w:pStyle w:val="24"/>
        <w:adjustRightInd w:val="0"/>
        <w:snapToGrid w:val="0"/>
        <w:spacing w:before="0" w:beforeAutospacing="0" w:after="0" w:afterAutospacing="0" w:line="460" w:lineRule="atLeast"/>
        <w:ind w:firstLine="420"/>
        <w:rPr>
          <w:rFonts w:ascii="黑体" w:eastAsia="黑体"/>
          <w:snapToGrid w:val="0"/>
          <w:color w:val="0000FF"/>
        </w:rPr>
      </w:pPr>
      <w:r>
        <w:rPr>
          <w:rFonts w:hint="eastAsia" w:ascii="黑体" w:eastAsia="黑体"/>
          <w:snapToGrid w:val="0"/>
        </w:rPr>
        <w:t>三、其他信息</w:t>
      </w:r>
    </w:p>
    <w:p>
      <w:pPr>
        <w:pStyle w:val="24"/>
        <w:adjustRightInd w:val="0"/>
        <w:snapToGrid w:val="0"/>
        <w:spacing w:before="0" w:beforeAutospacing="0" w:after="0" w:afterAutospacing="0" w:line="460" w:lineRule="atLeast"/>
        <w:ind w:firstLine="420"/>
        <w:jc w:val="both"/>
        <w:rPr>
          <w:snapToGrid w:val="0"/>
          <w:sz w:val="21"/>
          <w:szCs w:val="21"/>
        </w:rPr>
      </w:pPr>
      <w:r>
        <w:rPr>
          <w:rFonts w:hint="eastAsia"/>
          <w:snapToGrid w:val="0"/>
          <w:sz w:val="21"/>
          <w:szCs w:val="21"/>
        </w:rPr>
        <w:t>贵公司管理层（以下简称管理层）对其他信息负责。其他信息包括贵公司</w:t>
      </w:r>
      <w:r>
        <w:rPr>
          <w:snapToGrid w:val="0"/>
          <w:sz w:val="21"/>
          <w:szCs w:val="21"/>
        </w:rPr>
        <w:t>201</w:t>
      </w:r>
      <w:r>
        <w:rPr>
          <w:rFonts w:hint="eastAsia"/>
          <w:snapToGrid w:val="0"/>
          <w:sz w:val="21"/>
          <w:szCs w:val="21"/>
        </w:rPr>
        <w:t>7年年度报告中涵盖的信息，但不包括财务报表和我们的审计报告。</w:t>
      </w:r>
    </w:p>
    <w:p>
      <w:pPr>
        <w:pStyle w:val="24"/>
        <w:adjustRightInd w:val="0"/>
        <w:snapToGrid w:val="0"/>
        <w:spacing w:before="0" w:beforeAutospacing="0" w:after="0" w:afterAutospacing="0" w:line="460" w:lineRule="atLeast"/>
        <w:ind w:firstLine="420"/>
        <w:jc w:val="both"/>
        <w:rPr>
          <w:snapToGrid w:val="0"/>
          <w:sz w:val="21"/>
          <w:szCs w:val="21"/>
        </w:rPr>
      </w:pPr>
      <w:r>
        <w:rPr>
          <w:rFonts w:hint="eastAsia"/>
          <w:snapToGrid w:val="0"/>
          <w:sz w:val="21"/>
          <w:szCs w:val="21"/>
        </w:rPr>
        <w:t>我们对财务报表发表的审计意见并不涵盖其他信息，我们也不对其他信息发表任何形式的鉴证结论。</w:t>
      </w:r>
    </w:p>
    <w:p>
      <w:pPr>
        <w:pStyle w:val="24"/>
        <w:adjustRightInd w:val="0"/>
        <w:snapToGrid w:val="0"/>
        <w:spacing w:before="0" w:beforeAutospacing="0" w:after="0" w:afterAutospacing="0" w:line="460" w:lineRule="atLeast"/>
        <w:ind w:firstLine="420"/>
        <w:jc w:val="both"/>
        <w:rPr>
          <w:snapToGrid w:val="0"/>
          <w:sz w:val="21"/>
          <w:szCs w:val="21"/>
        </w:rPr>
      </w:pPr>
      <w:r>
        <w:rPr>
          <w:rFonts w:hint="eastAsia"/>
          <w:snapToGrid w:val="0"/>
          <w:sz w:val="21"/>
          <w:szCs w:val="21"/>
        </w:rPr>
        <w:t>结合我们对财务报表的审计，我们的责任是阅读其他信息，在此过程中，考虑其他信息是否与财务报表或我们在审计过程中了解到的情况存在重大不一致或者似乎存在重大错报。</w:t>
      </w:r>
    </w:p>
    <w:p>
      <w:pPr>
        <w:pStyle w:val="24"/>
        <w:adjustRightInd w:val="0"/>
        <w:snapToGrid w:val="0"/>
        <w:spacing w:before="0" w:beforeAutospacing="0" w:after="0" w:afterAutospacing="0" w:line="460" w:lineRule="atLeast"/>
        <w:ind w:firstLine="420"/>
        <w:jc w:val="both"/>
        <w:rPr>
          <w:snapToGrid w:val="0"/>
          <w:sz w:val="21"/>
          <w:szCs w:val="21"/>
        </w:rPr>
      </w:pPr>
      <w:r>
        <w:rPr>
          <w:rFonts w:hint="eastAsia"/>
          <w:snapToGrid w:val="0"/>
          <w:sz w:val="21"/>
          <w:szCs w:val="21"/>
        </w:rPr>
        <w:t>基于我们已执行的工作，如果我们确定其他信息存在重大错报，我们应当报告该事实。在这方面，我们无任何事项需要报告。</w:t>
      </w:r>
    </w:p>
    <w:p>
      <w:pPr>
        <w:pStyle w:val="24"/>
        <w:adjustRightInd w:val="0"/>
        <w:snapToGrid w:val="0"/>
        <w:spacing w:before="0" w:beforeAutospacing="0" w:after="0" w:afterAutospacing="0" w:line="460" w:lineRule="atLeast"/>
        <w:ind w:firstLine="420"/>
        <w:rPr>
          <w:rFonts w:ascii="黑体" w:eastAsia="黑体"/>
          <w:snapToGrid w:val="0"/>
        </w:rPr>
      </w:pPr>
    </w:p>
    <w:p>
      <w:pPr>
        <w:pStyle w:val="24"/>
        <w:adjustRightInd w:val="0"/>
        <w:snapToGrid w:val="0"/>
        <w:spacing w:before="0" w:beforeAutospacing="0" w:after="0" w:afterAutospacing="0" w:line="460" w:lineRule="atLeast"/>
        <w:ind w:firstLine="420"/>
        <w:rPr>
          <w:rFonts w:ascii="黑体" w:eastAsia="黑体"/>
          <w:snapToGrid w:val="0"/>
        </w:rPr>
      </w:pPr>
      <w:r>
        <w:rPr>
          <w:rFonts w:hint="eastAsia" w:ascii="黑体" w:eastAsia="黑体"/>
          <w:snapToGrid w:val="0"/>
        </w:rPr>
        <w:t>四、管理层对财务报表的责任</w:t>
      </w:r>
    </w:p>
    <w:p>
      <w:pPr>
        <w:pStyle w:val="24"/>
        <w:adjustRightInd w:val="0"/>
        <w:snapToGrid w:val="0"/>
        <w:spacing w:before="0" w:beforeAutospacing="0" w:after="0" w:afterAutospacing="0" w:line="460" w:lineRule="atLeast"/>
        <w:ind w:firstLine="420"/>
        <w:jc w:val="both"/>
        <w:rPr>
          <w:snapToGrid w:val="0"/>
          <w:sz w:val="21"/>
          <w:szCs w:val="21"/>
        </w:rPr>
      </w:pPr>
      <w:r>
        <w:rPr>
          <w:rFonts w:hint="eastAsia"/>
          <w:snapToGrid w:val="0"/>
          <w:sz w:val="21"/>
          <w:szCs w:val="21"/>
        </w:rPr>
        <w:t>管理层负责按照企业会计准则的规定编制财务报表，使其实现公允反映，并设计、执行和维护必要的内部控制，以使财务报表不存在由于舞弊或错误导致的重大错报。</w:t>
      </w:r>
    </w:p>
    <w:p>
      <w:pPr>
        <w:pStyle w:val="24"/>
        <w:adjustRightInd w:val="0"/>
        <w:snapToGrid w:val="0"/>
        <w:spacing w:before="0" w:beforeAutospacing="0" w:after="0" w:afterAutospacing="0" w:line="460" w:lineRule="atLeast"/>
        <w:ind w:firstLine="420"/>
        <w:jc w:val="both"/>
        <w:rPr>
          <w:snapToGrid w:val="0"/>
          <w:sz w:val="21"/>
          <w:szCs w:val="21"/>
        </w:rPr>
      </w:pPr>
      <w:r>
        <w:rPr>
          <w:rFonts w:hint="eastAsia"/>
          <w:snapToGrid w:val="0"/>
          <w:sz w:val="21"/>
          <w:szCs w:val="21"/>
        </w:rPr>
        <w:t>在编制财务报表时，管理层负责评估贵公司的持续经营能力，披露与持续经营相关的事项（如适用），并运用持续经营假设，除非管理层计划清算贵公司、终止运营或别无其他现实的选择。</w:t>
      </w:r>
    </w:p>
    <w:p>
      <w:pPr>
        <w:pStyle w:val="24"/>
        <w:adjustRightInd w:val="0"/>
        <w:snapToGrid w:val="0"/>
        <w:spacing w:before="0" w:beforeAutospacing="0" w:after="0" w:afterAutospacing="0" w:line="460" w:lineRule="atLeast"/>
        <w:ind w:firstLine="420"/>
        <w:rPr>
          <w:snapToGrid w:val="0"/>
          <w:color w:val="0000FF"/>
          <w:sz w:val="21"/>
          <w:szCs w:val="21"/>
        </w:rPr>
      </w:pPr>
    </w:p>
    <w:p>
      <w:pPr>
        <w:pStyle w:val="24"/>
        <w:adjustRightInd w:val="0"/>
        <w:snapToGrid w:val="0"/>
        <w:spacing w:before="0" w:beforeAutospacing="0" w:after="0" w:afterAutospacing="0" w:line="460" w:lineRule="atLeast"/>
        <w:ind w:firstLine="480" w:firstLineChars="200"/>
        <w:rPr>
          <w:rFonts w:ascii="黑体" w:eastAsia="黑体"/>
          <w:snapToGrid w:val="0"/>
        </w:rPr>
      </w:pPr>
      <w:r>
        <w:rPr>
          <w:rFonts w:hint="eastAsia" w:ascii="黑体" w:eastAsia="黑体"/>
          <w:snapToGrid w:val="0"/>
        </w:rPr>
        <w:t>五、注册会计师对财务报表审计的责任</w:t>
      </w:r>
    </w:p>
    <w:p>
      <w:pPr>
        <w:pStyle w:val="24"/>
        <w:widowControl w:val="0"/>
        <w:adjustRightInd w:val="0"/>
        <w:snapToGrid w:val="0"/>
        <w:spacing w:before="0" w:beforeAutospacing="0" w:after="0" w:afterAutospacing="0" w:line="460" w:lineRule="atLeast"/>
        <w:ind w:firstLine="420" w:firstLineChars="200"/>
        <w:jc w:val="both"/>
        <w:rPr>
          <w:snapToGrid w:val="0"/>
          <w:sz w:val="21"/>
          <w:szCs w:val="21"/>
        </w:rPr>
      </w:pPr>
      <w:r>
        <w:rPr>
          <w:rFonts w:hint="eastAsia"/>
          <w:snapToGrid w:val="0"/>
          <w:sz w:val="21"/>
          <w:szCs w:val="21"/>
        </w:rPr>
        <w:t>我们的目标是对财务报表整体是否不存在由于舞弊或错误导致的重大错报获取合理保证，并出具包含审计意见的审计报告。合理保证是高水平的保证，但并不能保证按照审计准则执行的审计在某一重大错报存在时总能发现。错报可能由于舞弊或错误导致，如果合理预期错报单独或汇总起来可能影响财务报表使用者依据财务报表作出的经济决策，则通常认为错报是重大的。</w:t>
      </w:r>
    </w:p>
    <w:p>
      <w:pPr>
        <w:pStyle w:val="24"/>
        <w:widowControl w:val="0"/>
        <w:adjustRightInd w:val="0"/>
        <w:snapToGrid w:val="0"/>
        <w:spacing w:before="0" w:beforeAutospacing="0" w:after="0" w:afterAutospacing="0" w:line="460" w:lineRule="atLeast"/>
        <w:ind w:firstLine="420" w:firstLineChars="200"/>
        <w:jc w:val="both"/>
        <w:rPr>
          <w:snapToGrid w:val="0"/>
          <w:sz w:val="21"/>
          <w:szCs w:val="21"/>
        </w:rPr>
      </w:pPr>
      <w:r>
        <w:rPr>
          <w:rFonts w:hint="eastAsia"/>
          <w:snapToGrid w:val="0"/>
          <w:sz w:val="21"/>
          <w:szCs w:val="21"/>
        </w:rPr>
        <w:t>在按照审计准则执行审计工作的过程中，我们运用职业判断，并保持职业怀疑。同时，我们也执行以下工作：</w:t>
      </w:r>
    </w:p>
    <w:p>
      <w:pPr>
        <w:pStyle w:val="24"/>
        <w:widowControl w:val="0"/>
        <w:adjustRightInd w:val="0"/>
        <w:snapToGrid w:val="0"/>
        <w:spacing w:before="0" w:beforeAutospacing="0" w:after="0" w:afterAutospacing="0" w:line="460" w:lineRule="atLeast"/>
        <w:ind w:firstLine="420" w:firstLineChars="200"/>
        <w:jc w:val="both"/>
        <w:rPr>
          <w:snapToGrid w:val="0"/>
          <w:sz w:val="21"/>
          <w:szCs w:val="21"/>
        </w:rPr>
      </w:pPr>
      <w:r>
        <w:rPr>
          <w:rFonts w:hint="eastAsia"/>
          <w:snapToGrid w:val="0"/>
          <w:sz w:val="21"/>
          <w:szCs w:val="21"/>
        </w:rPr>
        <w:t>（一）识别和评估由于舞弊或错误导致的财务报表重大错报风险，设计和实施审计程序以应对这些风险，并获取充分、适当的审计证据，作为发表审计意见的基础。由于舞弊可能涉及串通、伪造、故意遗漏、虚假陈述或凌驾于内部控制之上，未能发现由于舞弊导致的重大错报的风险高于未能发现由于错误导致的重大错报的风险。</w:t>
      </w:r>
    </w:p>
    <w:p>
      <w:pPr>
        <w:pStyle w:val="24"/>
        <w:widowControl w:val="0"/>
        <w:adjustRightInd w:val="0"/>
        <w:snapToGrid w:val="0"/>
        <w:spacing w:before="0" w:beforeAutospacing="0" w:after="0" w:afterAutospacing="0" w:line="460" w:lineRule="atLeast"/>
        <w:ind w:firstLine="420" w:firstLineChars="200"/>
        <w:jc w:val="both"/>
        <w:rPr>
          <w:snapToGrid w:val="0"/>
          <w:sz w:val="21"/>
          <w:szCs w:val="21"/>
        </w:rPr>
      </w:pPr>
      <w:r>
        <w:rPr>
          <w:rFonts w:hint="eastAsia"/>
          <w:snapToGrid w:val="0"/>
          <w:sz w:val="21"/>
          <w:szCs w:val="21"/>
        </w:rPr>
        <w:t>（二）了解与审计相关的内部控制，以设计恰当的审计程序，但目的并非对内部控制的有效性发表意见。</w:t>
      </w:r>
    </w:p>
    <w:p>
      <w:pPr>
        <w:pStyle w:val="24"/>
        <w:widowControl w:val="0"/>
        <w:adjustRightInd w:val="0"/>
        <w:snapToGrid w:val="0"/>
        <w:spacing w:before="0" w:beforeAutospacing="0" w:after="0" w:afterAutospacing="0" w:line="460" w:lineRule="atLeast"/>
        <w:ind w:firstLine="420" w:firstLineChars="200"/>
        <w:jc w:val="both"/>
        <w:rPr>
          <w:snapToGrid w:val="0"/>
          <w:sz w:val="21"/>
          <w:szCs w:val="21"/>
        </w:rPr>
      </w:pPr>
      <w:r>
        <w:rPr>
          <w:rFonts w:hint="eastAsia"/>
          <w:snapToGrid w:val="0"/>
          <w:sz w:val="21"/>
          <w:szCs w:val="21"/>
        </w:rPr>
        <w:t>（三）评价管理层选用会计政策的恰当性和作出会计估计及相关披露的合理性。</w:t>
      </w:r>
    </w:p>
    <w:p>
      <w:pPr>
        <w:pStyle w:val="24"/>
        <w:widowControl w:val="0"/>
        <w:adjustRightInd w:val="0"/>
        <w:snapToGrid w:val="0"/>
        <w:spacing w:before="0" w:beforeAutospacing="0" w:after="0" w:afterAutospacing="0" w:line="460" w:lineRule="atLeast"/>
        <w:ind w:firstLine="420" w:firstLineChars="200"/>
        <w:jc w:val="both"/>
        <w:rPr>
          <w:snapToGrid w:val="0"/>
          <w:sz w:val="21"/>
          <w:szCs w:val="21"/>
        </w:rPr>
      </w:pPr>
      <w:r>
        <w:rPr>
          <w:rFonts w:hint="eastAsia"/>
          <w:snapToGrid w:val="0"/>
          <w:sz w:val="21"/>
          <w:szCs w:val="21"/>
        </w:rPr>
        <w:t>（四）对管理层使用持续经营假设的恰当性得出结论。同时，根据获取的审计证据，就可能导致对贵公司持续经营能力产生重大疑虑的事项或情况是否存在重大不确定性得出结论。如果我们得出结论认为存在重大不确定性，审计准则要求我们在审计报告中提请报表使用者注意财务报表中的相关披露；如果披露不充分，我们应当发表非无保留意见。我们的结论基于截至审计报告日可获得的信息。然而，未来的事项或情况可能导致贵公司不能持续经营。</w:t>
      </w:r>
    </w:p>
    <w:p>
      <w:pPr>
        <w:pStyle w:val="24"/>
        <w:widowControl w:val="0"/>
        <w:adjustRightInd w:val="0"/>
        <w:snapToGrid w:val="0"/>
        <w:spacing w:before="0" w:beforeAutospacing="0" w:after="0" w:afterAutospacing="0" w:line="460" w:lineRule="atLeast"/>
        <w:ind w:firstLine="420" w:firstLineChars="200"/>
        <w:jc w:val="both"/>
        <w:rPr>
          <w:snapToGrid w:val="0"/>
          <w:sz w:val="21"/>
          <w:szCs w:val="21"/>
        </w:rPr>
      </w:pPr>
      <w:r>
        <w:rPr>
          <w:rFonts w:hint="eastAsia"/>
          <w:snapToGrid w:val="0"/>
          <w:sz w:val="21"/>
          <w:szCs w:val="21"/>
        </w:rPr>
        <w:t>（五）评价财务报表的总体列报、结构和内容（包括披露），并评价财务报表是否公允反映相关交易和事项。</w:t>
      </w:r>
    </w:p>
    <w:p>
      <w:pPr>
        <w:pStyle w:val="24"/>
        <w:widowControl w:val="0"/>
        <w:adjustRightInd w:val="0"/>
        <w:snapToGrid w:val="0"/>
        <w:spacing w:before="0" w:beforeAutospacing="0" w:after="0" w:afterAutospacing="0" w:line="460" w:lineRule="atLeast"/>
        <w:ind w:firstLine="420" w:firstLineChars="200"/>
        <w:jc w:val="both"/>
        <w:rPr>
          <w:snapToGrid w:val="0"/>
          <w:color w:val="0000FF"/>
          <w:sz w:val="21"/>
          <w:szCs w:val="21"/>
        </w:rPr>
      </w:pPr>
      <w:r>
        <w:rPr>
          <w:rFonts w:hint="eastAsia"/>
          <w:snapToGrid w:val="0"/>
          <w:sz w:val="21"/>
          <w:szCs w:val="21"/>
        </w:rPr>
        <w:t>（六）就贵公司中实体或业务活动的财务信息获取充分、恰当的审计证据，以对财务报表发表审计意见。我们负责指导、监督和执行集团审计，并对审计意见承担全部责任。</w:t>
      </w:r>
    </w:p>
    <w:p>
      <w:pPr>
        <w:pStyle w:val="24"/>
        <w:widowControl w:val="0"/>
        <w:adjustRightInd w:val="0"/>
        <w:snapToGrid w:val="0"/>
        <w:spacing w:before="0" w:beforeAutospacing="0" w:after="0" w:afterAutospacing="0" w:line="460" w:lineRule="atLeast"/>
        <w:ind w:firstLine="420" w:firstLineChars="200"/>
        <w:jc w:val="both"/>
        <w:rPr>
          <w:snapToGrid w:val="0"/>
          <w:sz w:val="21"/>
          <w:szCs w:val="21"/>
        </w:rPr>
      </w:pPr>
      <w:r>
        <w:rPr>
          <w:rFonts w:hint="eastAsia"/>
          <w:snapToGrid w:val="0"/>
          <w:sz w:val="21"/>
          <w:szCs w:val="21"/>
        </w:rPr>
        <w:t>我们与治理层就计划的审计范围、时间安排和重大审计发现等事项进行沟通，包括沟通我们在审计中识别出的值得关注的内部控制缺陷。</w:t>
      </w:r>
    </w:p>
    <w:p>
      <w:pPr>
        <w:spacing w:line="460" w:lineRule="atLeast"/>
        <w:rPr>
          <w:rFonts w:ascii="宋体" w:hAnsi="宋体"/>
          <w:snapToGrid w:val="0"/>
          <w:kern w:val="0"/>
        </w:rPr>
      </w:pPr>
    </w:p>
    <w:p>
      <w:pPr>
        <w:spacing w:line="460" w:lineRule="atLeast"/>
        <w:rPr>
          <w:rFonts w:ascii="宋体" w:hAnsi="宋体"/>
          <w:snapToGrid w:val="0"/>
          <w:kern w:val="0"/>
        </w:rPr>
      </w:pPr>
    </w:p>
    <w:p>
      <w:pPr>
        <w:pStyle w:val="24"/>
        <w:spacing w:before="0" w:beforeAutospacing="0" w:after="0" w:afterAutospacing="0" w:line="460" w:lineRule="atLeast"/>
        <w:ind w:firstLine="424" w:firstLineChars="202"/>
        <w:rPr>
          <w:snapToGrid w:val="0"/>
          <w:sz w:val="21"/>
          <w:szCs w:val="21"/>
        </w:rPr>
      </w:pPr>
      <w:r>
        <w:rPr>
          <w:rFonts w:hint="eastAsia"/>
          <w:snapToGrid w:val="0"/>
          <w:sz w:val="21"/>
          <w:szCs w:val="21"/>
        </w:rPr>
        <w:t>大信会计师事务所（特殊普通合伙）长沙分所</w:t>
      </w:r>
      <w:r>
        <w:rPr>
          <w:snapToGrid w:val="0"/>
          <w:sz w:val="21"/>
          <w:szCs w:val="21"/>
        </w:rPr>
        <w:t xml:space="preserve">   </w:t>
      </w:r>
      <w:r>
        <w:rPr>
          <w:rFonts w:hint="eastAsia"/>
          <w:snapToGrid w:val="0"/>
          <w:sz w:val="21"/>
          <w:szCs w:val="21"/>
        </w:rPr>
        <w:t xml:space="preserve">      </w:t>
      </w:r>
      <w:r>
        <w:rPr>
          <w:snapToGrid w:val="0"/>
          <w:sz w:val="21"/>
          <w:szCs w:val="21"/>
        </w:rPr>
        <w:t xml:space="preserve"> </w:t>
      </w:r>
      <w:r>
        <w:rPr>
          <w:rFonts w:hint="eastAsia"/>
          <w:snapToGrid w:val="0"/>
          <w:sz w:val="21"/>
          <w:szCs w:val="21"/>
        </w:rPr>
        <w:t>中国注册会计师：</w:t>
      </w:r>
    </w:p>
    <w:p>
      <w:pPr>
        <w:pStyle w:val="24"/>
        <w:spacing w:before="0" w:beforeAutospacing="0" w:after="0" w:afterAutospacing="0" w:line="460" w:lineRule="atLeast"/>
        <w:ind w:firstLine="424" w:firstLineChars="202"/>
        <w:rPr>
          <w:snapToGrid w:val="0"/>
          <w:sz w:val="21"/>
          <w:szCs w:val="21"/>
        </w:rPr>
      </w:pPr>
      <w:r>
        <w:rPr>
          <w:rFonts w:hint="eastAsia"/>
          <w:snapToGrid w:val="0"/>
          <w:sz w:val="21"/>
          <w:szCs w:val="21"/>
        </w:rPr>
        <w:t xml:space="preserve">                                                      </w:t>
      </w:r>
    </w:p>
    <w:p>
      <w:pPr>
        <w:pStyle w:val="24"/>
        <w:spacing w:before="0" w:beforeAutospacing="0" w:after="0" w:afterAutospacing="0" w:line="460" w:lineRule="atLeast"/>
        <w:ind w:firstLine="424" w:firstLineChars="202"/>
        <w:rPr>
          <w:snapToGrid w:val="0"/>
          <w:sz w:val="21"/>
          <w:szCs w:val="21"/>
        </w:rPr>
      </w:pPr>
    </w:p>
    <w:p>
      <w:pPr>
        <w:pStyle w:val="24"/>
        <w:spacing w:before="0" w:beforeAutospacing="0" w:after="0" w:afterAutospacing="0" w:line="460" w:lineRule="atLeast"/>
        <w:ind w:firstLine="424" w:firstLineChars="202"/>
        <w:rPr>
          <w:snapToGrid w:val="0"/>
          <w:sz w:val="21"/>
          <w:szCs w:val="21"/>
        </w:rPr>
      </w:pPr>
      <w:r>
        <w:rPr>
          <w:rFonts w:hint="eastAsia"/>
          <w:snapToGrid w:val="0"/>
          <w:sz w:val="21"/>
          <w:szCs w:val="21"/>
        </w:rPr>
        <w:t xml:space="preserve">                                     </w:t>
      </w:r>
    </w:p>
    <w:p>
      <w:pPr>
        <w:pStyle w:val="24"/>
        <w:spacing w:before="0" w:beforeAutospacing="0" w:after="0" w:afterAutospacing="0" w:line="460" w:lineRule="atLeast"/>
        <w:ind w:firstLine="1260" w:firstLineChars="600"/>
        <w:rPr>
          <w:snapToGrid w:val="0"/>
          <w:sz w:val="21"/>
          <w:szCs w:val="21"/>
        </w:rPr>
      </w:pPr>
      <w:r>
        <w:rPr>
          <w:rFonts w:hint="eastAsia"/>
          <w:snapToGrid w:val="0"/>
          <w:sz w:val="21"/>
          <w:szCs w:val="21"/>
        </w:rPr>
        <w:t>中</w:t>
      </w:r>
      <w:r>
        <w:rPr>
          <w:snapToGrid w:val="0"/>
          <w:sz w:val="21"/>
          <w:szCs w:val="21"/>
        </w:rPr>
        <w:t xml:space="preserve"> </w:t>
      </w:r>
      <w:r>
        <w:rPr>
          <w:rFonts w:hint="eastAsia"/>
          <w:snapToGrid w:val="0"/>
          <w:sz w:val="21"/>
          <w:szCs w:val="21"/>
        </w:rPr>
        <w:t>国</w:t>
      </w:r>
      <w:r>
        <w:rPr>
          <w:snapToGrid w:val="0"/>
          <w:sz w:val="21"/>
          <w:szCs w:val="21"/>
        </w:rPr>
        <w:t xml:space="preserve"> </w:t>
      </w:r>
      <w:r>
        <w:rPr>
          <w:rFonts w:hint="eastAsia"/>
          <w:snapToGrid w:val="0"/>
          <w:sz w:val="21"/>
          <w:szCs w:val="21"/>
        </w:rPr>
        <w:t xml:space="preserve"> · </w:t>
      </w:r>
      <w:r>
        <w:rPr>
          <w:snapToGrid w:val="0"/>
          <w:sz w:val="21"/>
          <w:szCs w:val="21"/>
        </w:rPr>
        <w:t xml:space="preserve"> </w:t>
      </w:r>
      <w:r>
        <w:rPr>
          <w:rFonts w:hint="eastAsia"/>
          <w:snapToGrid w:val="0"/>
          <w:sz w:val="21"/>
          <w:szCs w:val="21"/>
        </w:rPr>
        <w:t>长沙</w:t>
      </w:r>
      <w:r>
        <w:rPr>
          <w:snapToGrid w:val="0"/>
          <w:sz w:val="21"/>
          <w:szCs w:val="21"/>
        </w:rPr>
        <w:t xml:space="preserve">                   </w:t>
      </w:r>
      <w:r>
        <w:rPr>
          <w:rFonts w:hint="eastAsia"/>
          <w:snapToGrid w:val="0"/>
          <w:sz w:val="21"/>
          <w:szCs w:val="21"/>
        </w:rPr>
        <w:t xml:space="preserve">        中国注册会计师：</w:t>
      </w:r>
    </w:p>
    <w:p>
      <w:pPr>
        <w:pStyle w:val="24"/>
        <w:spacing w:before="0" w:beforeAutospacing="0" w:after="0" w:afterAutospacing="0" w:line="460" w:lineRule="atLeast"/>
        <w:rPr>
          <w:snapToGrid w:val="0"/>
          <w:sz w:val="21"/>
          <w:szCs w:val="21"/>
        </w:rPr>
      </w:pPr>
    </w:p>
    <w:p>
      <w:pPr>
        <w:pStyle w:val="24"/>
        <w:spacing w:before="0" w:beforeAutospacing="0" w:after="0" w:afterAutospacing="0" w:line="460" w:lineRule="atLeast"/>
        <w:rPr>
          <w:snapToGrid w:val="0"/>
          <w:sz w:val="21"/>
          <w:szCs w:val="21"/>
        </w:rPr>
      </w:pPr>
    </w:p>
    <w:p>
      <w:pPr>
        <w:pStyle w:val="24"/>
        <w:spacing w:before="0" w:beforeAutospacing="0" w:after="0" w:afterAutospacing="0" w:line="460" w:lineRule="atLeast"/>
        <w:rPr>
          <w:snapToGrid w:val="0"/>
          <w:sz w:val="21"/>
          <w:szCs w:val="21"/>
        </w:rPr>
      </w:pPr>
    </w:p>
    <w:p>
      <w:pPr>
        <w:pStyle w:val="24"/>
        <w:spacing w:before="0" w:beforeAutospacing="0" w:after="0" w:afterAutospacing="0" w:line="460" w:lineRule="atLeast"/>
        <w:jc w:val="right"/>
        <w:rPr>
          <w:snapToGrid w:val="0"/>
        </w:rPr>
      </w:pPr>
      <w:r>
        <w:rPr>
          <w:rFonts w:hint="eastAsia"/>
          <w:snapToGrid w:val="0"/>
          <w:sz w:val="21"/>
          <w:szCs w:val="21"/>
        </w:rPr>
        <w:t>二○一八年三月九日</w:t>
      </w:r>
    </w:p>
    <w:p>
      <w:pPr>
        <w:spacing w:line="460" w:lineRule="atLeast"/>
        <w:rPr>
          <w:rFonts w:ascii="宋体" w:hAnsi="宋体"/>
          <w:snapToGrid w:val="0"/>
          <w:kern w:val="0"/>
        </w:rPr>
        <w:sectPr>
          <w:headerReference r:id="rId4" w:type="default"/>
          <w:footerReference r:id="rId5" w:type="default"/>
          <w:pgSz w:w="11906" w:h="16838"/>
          <w:pgMar w:top="1701" w:right="1701" w:bottom="1701" w:left="1701" w:header="851" w:footer="1134" w:gutter="0"/>
          <w:pgNumType w:fmt="numberInDash" w:start="1"/>
          <w:cols w:space="425" w:num="1"/>
          <w:docGrid w:type="lines" w:linePitch="312" w:charSpace="0"/>
        </w:sectPr>
      </w:pPr>
    </w:p>
    <w:p>
      <w:pPr>
        <w:pStyle w:val="15"/>
        <w:snapToGrid w:val="0"/>
        <w:spacing w:line="460" w:lineRule="atLeast"/>
        <w:jc w:val="center"/>
        <w:rPr>
          <w:rFonts w:ascii="黑体" w:hAnsi="宋体" w:eastAsia="黑体" w:cs="黑体"/>
          <w:snapToGrid w:val="0"/>
          <w:kern w:val="0"/>
          <w:sz w:val="36"/>
          <w:szCs w:val="36"/>
        </w:rPr>
      </w:pPr>
    </w:p>
    <w:p>
      <w:pPr>
        <w:pStyle w:val="15"/>
        <w:snapToGrid w:val="0"/>
        <w:spacing w:line="460" w:lineRule="atLeast"/>
        <w:jc w:val="center"/>
        <w:rPr>
          <w:rFonts w:ascii="黑体" w:hAnsi="宋体" w:eastAsia="黑体" w:cs="Times New Roman"/>
          <w:snapToGrid w:val="0"/>
          <w:kern w:val="0"/>
          <w:sz w:val="36"/>
          <w:szCs w:val="36"/>
        </w:rPr>
      </w:pPr>
      <w:r>
        <w:rPr>
          <w:rFonts w:hint="eastAsia" w:ascii="黑体" w:hAnsi="宋体" w:eastAsia="黑体" w:cs="黑体"/>
          <w:snapToGrid w:val="0"/>
          <w:kern w:val="0"/>
          <w:sz w:val="36"/>
          <w:szCs w:val="36"/>
        </w:rPr>
        <w:t>长沙大眼仔旅游文化有限责任公司</w:t>
      </w:r>
    </w:p>
    <w:p>
      <w:pPr>
        <w:pStyle w:val="15"/>
        <w:snapToGrid w:val="0"/>
        <w:spacing w:line="460" w:lineRule="atLeast"/>
        <w:jc w:val="center"/>
        <w:rPr>
          <w:rFonts w:ascii="黑体" w:hAnsi="宋体" w:eastAsia="黑体" w:cs="Times New Roman"/>
          <w:snapToGrid w:val="0"/>
          <w:kern w:val="0"/>
          <w:sz w:val="36"/>
          <w:szCs w:val="36"/>
        </w:rPr>
      </w:pPr>
      <w:r>
        <w:rPr>
          <w:rFonts w:hint="eastAsia" w:ascii="黑体" w:hAnsi="宋体" w:eastAsia="黑体" w:cs="黑体"/>
          <w:snapToGrid w:val="0"/>
          <w:kern w:val="0"/>
          <w:sz w:val="36"/>
          <w:szCs w:val="36"/>
        </w:rPr>
        <w:t>财务报表附注</w:t>
      </w:r>
    </w:p>
    <w:p>
      <w:pPr>
        <w:pStyle w:val="15"/>
        <w:snapToGrid w:val="0"/>
        <w:spacing w:line="460" w:lineRule="atLeast"/>
        <w:jc w:val="center"/>
        <w:rPr>
          <w:rFonts w:hAnsi="宋体" w:cs="Times New Roman"/>
          <w:bCs/>
          <w:snapToGrid w:val="0"/>
          <w:kern w:val="0"/>
        </w:rPr>
      </w:pPr>
      <w:r>
        <w:rPr>
          <w:rFonts w:hint="eastAsia" w:hAnsi="宋体"/>
          <w:bCs/>
          <w:snapToGrid w:val="0"/>
          <w:kern w:val="0"/>
        </w:rPr>
        <w:t>（除特别注明外，本附注金额单位均为人民币元）</w:t>
      </w:r>
    </w:p>
    <w:p>
      <w:pPr>
        <w:pStyle w:val="15"/>
        <w:snapToGrid w:val="0"/>
        <w:spacing w:line="460" w:lineRule="atLeast"/>
        <w:rPr>
          <w:rFonts w:hAnsi="宋体" w:cs="Times New Roman"/>
          <w:b/>
          <w:bCs/>
          <w:snapToGrid w:val="0"/>
          <w:kern w:val="0"/>
        </w:rPr>
      </w:pPr>
    </w:p>
    <w:p>
      <w:pPr>
        <w:pStyle w:val="76"/>
        <w:numPr>
          <w:ilvl w:val="0"/>
          <w:numId w:val="3"/>
        </w:numPr>
        <w:tabs>
          <w:tab w:val="left" w:pos="1134"/>
        </w:tabs>
        <w:snapToGrid w:val="0"/>
        <w:spacing w:line="360" w:lineRule="auto"/>
        <w:ind w:left="993" w:hanging="513" w:firstLineChars="0"/>
        <w:outlineLvl w:val="0"/>
        <w:rPr>
          <w:rStyle w:val="45"/>
          <w:rFonts w:ascii="黑体" w:hAnsi="宋体" w:eastAsia="黑体"/>
          <w:bCs/>
          <w:snapToGrid w:val="0"/>
          <w:kern w:val="0"/>
          <w:sz w:val="24"/>
          <w:szCs w:val="24"/>
        </w:rPr>
      </w:pPr>
      <w:r>
        <w:rPr>
          <w:rStyle w:val="45"/>
          <w:rFonts w:hint="eastAsia" w:ascii="黑体" w:hAnsi="宋体" w:eastAsia="黑体"/>
          <w:bCs/>
          <w:snapToGrid w:val="0"/>
          <w:kern w:val="0"/>
          <w:sz w:val="24"/>
          <w:szCs w:val="24"/>
        </w:rPr>
        <w:t>企业的基本情况</w:t>
      </w:r>
    </w:p>
    <w:p>
      <w:pPr>
        <w:pStyle w:val="15"/>
        <w:snapToGrid w:val="0"/>
        <w:spacing w:line="360" w:lineRule="auto"/>
        <w:ind w:firstLine="420" w:firstLineChars="200"/>
        <w:rPr>
          <w:rFonts w:hAnsi="宋体"/>
          <w:snapToGrid w:val="0"/>
          <w:kern w:val="0"/>
        </w:rPr>
      </w:pPr>
      <w:r>
        <w:rPr>
          <w:rFonts w:hint="eastAsia" w:hAnsi="宋体"/>
          <w:snapToGrid w:val="0"/>
          <w:kern w:val="0"/>
        </w:rPr>
        <w:t>（一）长沙大眼仔旅游文化有限责任公司于二○一二年六月二十九日经长沙市工商行政管理局开福分局批准并颁发企业法人营业执照，统一社会信用代码：91430105599403577L，注册地址：长沙市开福区洪山街道三一大道455号湖南广播电视台广播传媒中心技术大楼3楼BA-0302B室。注册资本为壹佰万元整。法定代表人：龙小平。</w:t>
      </w:r>
    </w:p>
    <w:p>
      <w:pPr>
        <w:pStyle w:val="15"/>
        <w:snapToGrid w:val="0"/>
        <w:spacing w:line="360" w:lineRule="auto"/>
        <w:ind w:firstLine="420" w:firstLineChars="200"/>
        <w:rPr>
          <w:rFonts w:hAnsi="宋体"/>
          <w:snapToGrid w:val="0"/>
          <w:kern w:val="0"/>
        </w:rPr>
      </w:pPr>
      <w:r>
        <w:rPr>
          <w:rFonts w:hint="eastAsia" w:hAnsi="宋体"/>
          <w:snapToGrid w:val="0"/>
          <w:kern w:val="0"/>
        </w:rPr>
        <w:t>（二）公司股权结构情况</w:t>
      </w:r>
    </w:p>
    <w:p>
      <w:pPr>
        <w:spacing w:line="360" w:lineRule="auto"/>
        <w:ind w:firstLine="630" w:firstLineChars="300"/>
        <w:rPr>
          <w:rFonts w:ascii="宋体" w:hAnsi="宋体" w:cs="宋体"/>
          <w:snapToGrid w:val="0"/>
          <w:kern w:val="0"/>
        </w:rPr>
      </w:pPr>
      <w:r>
        <w:rPr>
          <w:rFonts w:hint="eastAsia" w:ascii="宋体" w:hAnsi="宋体" w:cs="宋体"/>
          <w:snapToGrid w:val="0"/>
          <w:kern w:val="0"/>
        </w:rPr>
        <w:t>股权结构如下（单位：万元）：</w:t>
      </w:r>
    </w:p>
    <w:tbl>
      <w:tblPr>
        <w:tblStyle w:val="31"/>
        <w:tblW w:w="850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3304"/>
        <w:gridCol w:w="1375"/>
        <w:gridCol w:w="1701"/>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09" w:type="dxa"/>
            <w:vAlign w:val="center"/>
          </w:tcPr>
          <w:p>
            <w:pPr>
              <w:jc w:val="center"/>
              <w:rPr>
                <w:rFonts w:ascii="宋体" w:hAnsi="宋体" w:cs="宋体"/>
                <w:snapToGrid w:val="0"/>
                <w:kern w:val="0"/>
              </w:rPr>
            </w:pPr>
            <w:r>
              <w:rPr>
                <w:rFonts w:hint="eastAsia" w:ascii="宋体" w:hAnsi="宋体" w:cs="宋体"/>
                <w:snapToGrid w:val="0"/>
                <w:kern w:val="0"/>
              </w:rPr>
              <w:t>序号</w:t>
            </w:r>
          </w:p>
        </w:tc>
        <w:tc>
          <w:tcPr>
            <w:tcW w:w="3304" w:type="dxa"/>
            <w:vAlign w:val="center"/>
          </w:tcPr>
          <w:p>
            <w:pPr>
              <w:jc w:val="center"/>
              <w:rPr>
                <w:rFonts w:ascii="宋体" w:hAnsi="宋体" w:cs="宋体"/>
                <w:snapToGrid w:val="0"/>
                <w:kern w:val="0"/>
              </w:rPr>
            </w:pPr>
            <w:r>
              <w:rPr>
                <w:rFonts w:hint="eastAsia" w:ascii="宋体" w:hAnsi="宋体" w:cs="宋体"/>
                <w:snapToGrid w:val="0"/>
                <w:kern w:val="0"/>
              </w:rPr>
              <w:t>股东</w:t>
            </w:r>
          </w:p>
        </w:tc>
        <w:tc>
          <w:tcPr>
            <w:tcW w:w="1375" w:type="dxa"/>
            <w:vAlign w:val="center"/>
          </w:tcPr>
          <w:p>
            <w:pPr>
              <w:jc w:val="center"/>
              <w:rPr>
                <w:rFonts w:ascii="宋体" w:hAnsi="宋体" w:cs="宋体"/>
                <w:snapToGrid w:val="0"/>
                <w:kern w:val="0"/>
              </w:rPr>
            </w:pPr>
            <w:r>
              <w:rPr>
                <w:rFonts w:hint="eastAsia" w:ascii="宋体" w:hAnsi="宋体" w:cs="宋体"/>
                <w:snapToGrid w:val="0"/>
                <w:kern w:val="0"/>
              </w:rPr>
              <w:t>认缴出资</w:t>
            </w:r>
          </w:p>
        </w:tc>
        <w:tc>
          <w:tcPr>
            <w:tcW w:w="1701" w:type="dxa"/>
            <w:vAlign w:val="center"/>
          </w:tcPr>
          <w:p>
            <w:pPr>
              <w:jc w:val="center"/>
              <w:rPr>
                <w:rFonts w:ascii="宋体" w:hAnsi="宋体" w:cs="宋体"/>
                <w:snapToGrid w:val="0"/>
                <w:kern w:val="0"/>
              </w:rPr>
            </w:pPr>
            <w:r>
              <w:rPr>
                <w:rFonts w:hint="eastAsia" w:ascii="宋体" w:hAnsi="宋体" w:cs="宋体"/>
                <w:snapToGrid w:val="0"/>
                <w:kern w:val="0"/>
              </w:rPr>
              <w:t>股权比例（%）</w:t>
            </w:r>
          </w:p>
        </w:tc>
        <w:tc>
          <w:tcPr>
            <w:tcW w:w="1417" w:type="dxa"/>
            <w:vAlign w:val="center"/>
          </w:tcPr>
          <w:p>
            <w:pPr>
              <w:jc w:val="center"/>
              <w:rPr>
                <w:rFonts w:ascii="宋体" w:hAnsi="宋体" w:cs="宋体"/>
                <w:snapToGrid w:val="0"/>
                <w:kern w:val="0"/>
              </w:rPr>
            </w:pPr>
            <w:r>
              <w:rPr>
                <w:rFonts w:hint="eastAsia" w:ascii="宋体" w:hAnsi="宋体" w:cs="宋体"/>
                <w:snapToGrid w:val="0"/>
                <w:kern w:val="0"/>
              </w:rPr>
              <w:t>出资方式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09" w:type="dxa"/>
            <w:vAlign w:val="center"/>
          </w:tcPr>
          <w:p>
            <w:pPr>
              <w:jc w:val="center"/>
              <w:rPr>
                <w:rFonts w:ascii="宋体" w:hAnsi="宋体" w:cs="宋体"/>
                <w:snapToGrid w:val="0"/>
                <w:kern w:val="0"/>
              </w:rPr>
            </w:pPr>
            <w:r>
              <w:rPr>
                <w:rFonts w:hint="eastAsia" w:ascii="宋体" w:hAnsi="宋体" w:cs="宋体"/>
                <w:snapToGrid w:val="0"/>
                <w:kern w:val="0"/>
              </w:rPr>
              <w:t>1</w:t>
            </w:r>
          </w:p>
        </w:tc>
        <w:tc>
          <w:tcPr>
            <w:tcW w:w="3304" w:type="dxa"/>
            <w:vAlign w:val="center"/>
          </w:tcPr>
          <w:p>
            <w:pPr>
              <w:jc w:val="left"/>
              <w:rPr>
                <w:rFonts w:ascii="宋体" w:hAnsi="宋体" w:cs="宋体"/>
                <w:snapToGrid w:val="0"/>
                <w:kern w:val="0"/>
              </w:rPr>
            </w:pPr>
            <w:r>
              <w:rPr>
                <w:rFonts w:hint="eastAsia" w:ascii="宋体" w:hAnsi="宋体" w:cs="宋体"/>
                <w:snapToGrid w:val="0"/>
                <w:kern w:val="0"/>
              </w:rPr>
              <w:t>湖南金鹰之声传媒有限责任公司</w:t>
            </w:r>
          </w:p>
        </w:tc>
        <w:tc>
          <w:tcPr>
            <w:tcW w:w="1375" w:type="dxa"/>
            <w:vAlign w:val="center"/>
          </w:tcPr>
          <w:p>
            <w:pPr>
              <w:jc w:val="center"/>
              <w:rPr>
                <w:rFonts w:ascii="宋体" w:hAnsi="宋体" w:cs="宋体"/>
                <w:snapToGrid w:val="0"/>
                <w:kern w:val="0"/>
              </w:rPr>
            </w:pPr>
            <w:r>
              <w:rPr>
                <w:rFonts w:hint="eastAsia" w:ascii="宋体" w:hAnsi="宋体" w:cs="宋体"/>
                <w:snapToGrid w:val="0"/>
                <w:kern w:val="0"/>
              </w:rPr>
              <w:t>100.00</w:t>
            </w:r>
          </w:p>
        </w:tc>
        <w:tc>
          <w:tcPr>
            <w:tcW w:w="1701" w:type="dxa"/>
            <w:vAlign w:val="center"/>
          </w:tcPr>
          <w:p>
            <w:pPr>
              <w:jc w:val="center"/>
              <w:rPr>
                <w:rFonts w:ascii="宋体" w:hAnsi="宋体" w:cs="宋体"/>
                <w:snapToGrid w:val="0"/>
                <w:kern w:val="0"/>
              </w:rPr>
            </w:pPr>
            <w:r>
              <w:rPr>
                <w:rFonts w:hint="eastAsia" w:ascii="宋体" w:hAnsi="宋体" w:cs="宋体"/>
                <w:snapToGrid w:val="0"/>
                <w:kern w:val="0"/>
              </w:rPr>
              <w:t>100.00</w:t>
            </w:r>
          </w:p>
        </w:tc>
        <w:tc>
          <w:tcPr>
            <w:tcW w:w="1417" w:type="dxa"/>
            <w:vAlign w:val="center"/>
          </w:tcPr>
          <w:p>
            <w:pPr>
              <w:jc w:val="center"/>
              <w:rPr>
                <w:rFonts w:ascii="宋体" w:hAnsi="宋体" w:cs="宋体"/>
                <w:snapToGrid w:val="0"/>
                <w:kern w:val="0"/>
              </w:rPr>
            </w:pPr>
            <w:r>
              <w:rPr>
                <w:rFonts w:hint="eastAsia" w:ascii="宋体" w:hAnsi="宋体" w:cs="宋体"/>
                <w:snapToGrid w:val="0"/>
                <w:kern w:val="0"/>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09" w:type="dxa"/>
            <w:vAlign w:val="center"/>
          </w:tcPr>
          <w:p>
            <w:pPr>
              <w:jc w:val="center"/>
              <w:rPr>
                <w:rFonts w:ascii="宋体" w:hAnsi="宋体" w:cs="宋体"/>
                <w:snapToGrid w:val="0"/>
                <w:kern w:val="0"/>
              </w:rPr>
            </w:pPr>
          </w:p>
        </w:tc>
        <w:tc>
          <w:tcPr>
            <w:tcW w:w="3304" w:type="dxa"/>
            <w:vAlign w:val="center"/>
          </w:tcPr>
          <w:p>
            <w:pPr>
              <w:jc w:val="center"/>
              <w:rPr>
                <w:rFonts w:ascii="宋体" w:hAnsi="宋体" w:cs="宋体"/>
                <w:snapToGrid w:val="0"/>
                <w:kern w:val="0"/>
              </w:rPr>
            </w:pPr>
            <w:r>
              <w:rPr>
                <w:rFonts w:hint="eastAsia" w:ascii="宋体" w:hAnsi="宋体" w:cs="宋体"/>
                <w:snapToGrid w:val="0"/>
                <w:kern w:val="0"/>
              </w:rPr>
              <w:t>合计</w:t>
            </w:r>
          </w:p>
        </w:tc>
        <w:tc>
          <w:tcPr>
            <w:tcW w:w="1375" w:type="dxa"/>
            <w:vAlign w:val="center"/>
          </w:tcPr>
          <w:p>
            <w:pPr>
              <w:jc w:val="center"/>
              <w:rPr>
                <w:rFonts w:ascii="宋体" w:hAnsi="宋体" w:cs="宋体"/>
                <w:snapToGrid w:val="0"/>
                <w:kern w:val="0"/>
              </w:rPr>
            </w:pPr>
            <w:r>
              <w:rPr>
                <w:rFonts w:hint="eastAsia" w:ascii="宋体" w:hAnsi="宋体" w:cs="宋体"/>
                <w:snapToGrid w:val="0"/>
                <w:kern w:val="0"/>
              </w:rPr>
              <w:t>100.00</w:t>
            </w:r>
          </w:p>
        </w:tc>
        <w:tc>
          <w:tcPr>
            <w:tcW w:w="1701" w:type="dxa"/>
            <w:vAlign w:val="center"/>
          </w:tcPr>
          <w:p>
            <w:pPr>
              <w:jc w:val="center"/>
              <w:rPr>
                <w:rFonts w:ascii="宋体" w:hAnsi="宋体" w:cs="宋体"/>
                <w:snapToGrid w:val="0"/>
                <w:kern w:val="0"/>
              </w:rPr>
            </w:pPr>
            <w:r>
              <w:rPr>
                <w:rFonts w:hint="eastAsia" w:ascii="宋体" w:hAnsi="宋体" w:cs="宋体"/>
                <w:snapToGrid w:val="0"/>
                <w:kern w:val="0"/>
              </w:rPr>
              <w:t>100.00</w:t>
            </w:r>
          </w:p>
        </w:tc>
        <w:tc>
          <w:tcPr>
            <w:tcW w:w="1417" w:type="dxa"/>
            <w:vAlign w:val="center"/>
          </w:tcPr>
          <w:p>
            <w:pPr>
              <w:jc w:val="center"/>
              <w:rPr>
                <w:rFonts w:ascii="宋体" w:hAnsi="宋体" w:cs="宋体"/>
                <w:snapToGrid w:val="0"/>
                <w:kern w:val="0"/>
              </w:rPr>
            </w:pPr>
          </w:p>
        </w:tc>
      </w:tr>
    </w:tbl>
    <w:p>
      <w:pPr>
        <w:spacing w:line="360" w:lineRule="auto"/>
        <w:rPr>
          <w:rFonts w:ascii="宋体" w:hAnsi="宋体" w:cs="宋体"/>
          <w:snapToGrid w:val="0"/>
          <w:kern w:val="0"/>
        </w:rPr>
      </w:pPr>
      <w:r>
        <w:rPr>
          <w:rFonts w:hint="eastAsia" w:ascii="宋体" w:hAnsi="宋体" w:cs="宋体"/>
          <w:snapToGrid w:val="0"/>
          <w:kern w:val="0"/>
        </w:rPr>
        <w:t xml:space="preserve">    注</w:t>
      </w:r>
      <w:r>
        <w:rPr>
          <w:rFonts w:ascii="宋体" w:hAnsi="宋体" w:cs="宋体"/>
          <w:snapToGrid w:val="0"/>
          <w:kern w:val="0"/>
        </w:rPr>
        <w:t>：</w:t>
      </w:r>
      <w:r>
        <w:rPr>
          <w:rFonts w:hint="eastAsia" w:ascii="宋体" w:hAnsi="宋体" w:cs="宋体"/>
          <w:snapToGrid w:val="0"/>
          <w:kern w:val="0"/>
        </w:rPr>
        <w:t>公司</w:t>
      </w:r>
      <w:r>
        <w:rPr>
          <w:rFonts w:ascii="宋体" w:hAnsi="宋体" w:cs="宋体"/>
          <w:snapToGrid w:val="0"/>
          <w:kern w:val="0"/>
        </w:rPr>
        <w:t>上述注册资本已全部缴纳，</w:t>
      </w:r>
      <w:r>
        <w:rPr>
          <w:rFonts w:hint="eastAsia" w:ascii="宋体" w:hAnsi="宋体" w:cs="宋体"/>
          <w:snapToGrid w:val="0"/>
          <w:kern w:val="0"/>
        </w:rPr>
        <w:t>湖南智超联合会计师事务所出具了湘智超验字（2012）第CS05-005号验资报告。</w:t>
      </w:r>
    </w:p>
    <w:p>
      <w:pPr>
        <w:pStyle w:val="15"/>
        <w:snapToGrid w:val="0"/>
        <w:spacing w:line="360" w:lineRule="auto"/>
        <w:ind w:firstLine="315" w:firstLineChars="150"/>
        <w:rPr>
          <w:rFonts w:hAnsi="宋体"/>
          <w:snapToGrid w:val="0"/>
          <w:color w:val="0000FF"/>
          <w:kern w:val="0"/>
        </w:rPr>
      </w:pPr>
      <w:r>
        <w:rPr>
          <w:rFonts w:hint="eastAsia" w:hAnsi="宋体"/>
          <w:snapToGrid w:val="0"/>
          <w:kern w:val="0"/>
        </w:rPr>
        <w:t>（三）公司经营范围：国内旅游业务，入境旅游业务；出境旅游业务；国内旅游和入境旅游招徕、组织、接待业务；向游客提供旅游、交通、住宿、餐饮等代理服务；广告制作服务、发布服务、国内代理服务。（依法须经批准的项目，经相关部门批准后方可开展经营活动）</w:t>
      </w:r>
    </w:p>
    <w:p>
      <w:pPr>
        <w:pStyle w:val="15"/>
        <w:snapToGrid w:val="0"/>
        <w:spacing w:line="360" w:lineRule="auto"/>
        <w:ind w:firstLine="420" w:firstLineChars="200"/>
        <w:rPr>
          <w:rFonts w:hAnsi="宋体"/>
          <w:b/>
          <w:snapToGrid w:val="0"/>
          <w:color w:val="0000FF"/>
          <w:kern w:val="0"/>
        </w:rPr>
      </w:pPr>
      <w:r>
        <w:rPr>
          <w:rFonts w:hint="eastAsia" w:hAnsi="宋体"/>
          <w:snapToGrid w:val="0"/>
          <w:kern w:val="0"/>
        </w:rPr>
        <w:t>（四）财务报告经本公司董事会于</w:t>
      </w:r>
      <w:r>
        <w:rPr>
          <w:rFonts w:hAnsi="宋体"/>
          <w:snapToGrid w:val="0"/>
          <w:kern w:val="0"/>
        </w:rPr>
        <w:t>201</w:t>
      </w:r>
      <w:r>
        <w:rPr>
          <w:rFonts w:hint="eastAsia" w:hAnsi="宋体"/>
          <w:snapToGrid w:val="0"/>
          <w:kern w:val="0"/>
        </w:rPr>
        <w:t>8</w:t>
      </w:r>
      <w:r>
        <w:rPr>
          <w:rFonts w:hAnsi="宋体"/>
          <w:snapToGrid w:val="0"/>
          <w:kern w:val="0"/>
        </w:rPr>
        <w:t>年</w:t>
      </w:r>
      <w:r>
        <w:rPr>
          <w:rFonts w:hint="eastAsia" w:hAnsi="宋体"/>
          <w:snapToGrid w:val="0"/>
          <w:kern w:val="0"/>
        </w:rPr>
        <w:t>3月9日决议批准报出。</w:t>
      </w:r>
    </w:p>
    <w:p>
      <w:pPr>
        <w:pStyle w:val="76"/>
        <w:numPr>
          <w:ilvl w:val="0"/>
          <w:numId w:val="3"/>
        </w:numPr>
        <w:tabs>
          <w:tab w:val="left" w:pos="993"/>
        </w:tabs>
        <w:snapToGrid w:val="0"/>
        <w:spacing w:line="460" w:lineRule="atLeast"/>
        <w:ind w:firstLineChars="0"/>
        <w:outlineLvl w:val="0"/>
        <w:rPr>
          <w:rStyle w:val="45"/>
          <w:rFonts w:ascii="黑体" w:hAnsi="宋体" w:eastAsia="黑体"/>
          <w:bCs/>
          <w:snapToGrid w:val="0"/>
          <w:kern w:val="0"/>
          <w:sz w:val="24"/>
          <w:szCs w:val="24"/>
        </w:rPr>
      </w:pPr>
      <w:r>
        <w:rPr>
          <w:rStyle w:val="45"/>
          <w:rFonts w:hint="eastAsia" w:ascii="黑体" w:hAnsi="宋体" w:eastAsia="黑体"/>
          <w:bCs/>
          <w:snapToGrid w:val="0"/>
          <w:kern w:val="0"/>
          <w:sz w:val="24"/>
          <w:szCs w:val="24"/>
        </w:rPr>
        <w:t>财务报表的编制基础</w:t>
      </w:r>
    </w:p>
    <w:p>
      <w:pPr>
        <w:pStyle w:val="15"/>
        <w:snapToGrid w:val="0"/>
        <w:spacing w:line="460" w:lineRule="atLeast"/>
        <w:ind w:firstLine="420" w:firstLineChars="200"/>
        <w:rPr>
          <w:rFonts w:hAnsi="宋体"/>
          <w:snapToGrid w:val="0"/>
          <w:kern w:val="0"/>
        </w:rPr>
      </w:pPr>
      <w:r>
        <w:rPr>
          <w:rFonts w:hint="eastAsia" w:hAnsi="宋体"/>
          <w:snapToGrid w:val="0"/>
          <w:kern w:val="0"/>
        </w:rPr>
        <w:t>1、编制基础：本公司财务报表以持续经营为基础，根据实际发生的交易和事项，按照财政部颁布的《企业会计准则</w:t>
      </w:r>
      <w:r>
        <w:rPr>
          <w:rFonts w:hAnsi="宋体"/>
          <w:snapToGrid w:val="0"/>
          <w:kern w:val="0"/>
        </w:rPr>
        <w:t>-</w:t>
      </w:r>
      <w:r>
        <w:rPr>
          <w:rFonts w:hint="eastAsia" w:hAnsi="宋体"/>
          <w:snapToGrid w:val="0"/>
          <w:kern w:val="0"/>
        </w:rPr>
        <w:t>基本准则》和具体会计准则等规定（以下合称“企业会计准则”），并基于以下所述重要会计政策、会计估计进行编制。</w:t>
      </w:r>
    </w:p>
    <w:p>
      <w:pPr>
        <w:pStyle w:val="15"/>
        <w:snapToGrid w:val="0"/>
        <w:spacing w:line="460" w:lineRule="atLeast"/>
        <w:ind w:firstLine="420" w:firstLineChars="200"/>
        <w:rPr>
          <w:rFonts w:hAnsi="宋体"/>
          <w:snapToGrid w:val="0"/>
          <w:color w:val="0000FF"/>
          <w:kern w:val="0"/>
        </w:rPr>
      </w:pPr>
      <w:r>
        <w:rPr>
          <w:rFonts w:hint="eastAsia" w:hAnsi="宋体"/>
          <w:snapToGrid w:val="0"/>
          <w:kern w:val="0"/>
        </w:rPr>
        <w:t>2、持续经营：本公司自本报告期末至少</w:t>
      </w:r>
      <w:r>
        <w:rPr>
          <w:rFonts w:hAnsi="宋体"/>
          <w:snapToGrid w:val="0"/>
          <w:kern w:val="0"/>
        </w:rPr>
        <w:t xml:space="preserve">12 </w:t>
      </w:r>
      <w:r>
        <w:rPr>
          <w:rFonts w:hint="eastAsia" w:hAnsi="宋体"/>
          <w:snapToGrid w:val="0"/>
          <w:kern w:val="0"/>
        </w:rPr>
        <w:t>个月内具备持续经营能力，无影响持续经营能力的重大事项。</w:t>
      </w:r>
    </w:p>
    <w:p>
      <w:pPr>
        <w:pStyle w:val="15"/>
        <w:snapToGrid w:val="0"/>
        <w:spacing w:line="460" w:lineRule="atLeast"/>
        <w:ind w:firstLine="420" w:firstLineChars="200"/>
        <w:rPr>
          <w:rFonts w:hAnsi="宋体"/>
          <w:snapToGrid w:val="0"/>
          <w:color w:val="0000FF"/>
          <w:kern w:val="0"/>
        </w:rPr>
      </w:pPr>
    </w:p>
    <w:p>
      <w:pPr>
        <w:pStyle w:val="76"/>
        <w:numPr>
          <w:ilvl w:val="0"/>
          <w:numId w:val="3"/>
        </w:numPr>
        <w:tabs>
          <w:tab w:val="left" w:pos="993"/>
        </w:tabs>
        <w:snapToGrid w:val="0"/>
        <w:spacing w:line="460" w:lineRule="atLeast"/>
        <w:ind w:firstLineChars="0"/>
        <w:outlineLvl w:val="0"/>
        <w:rPr>
          <w:rStyle w:val="45"/>
          <w:rFonts w:ascii="黑体" w:hAnsi="宋体" w:eastAsia="黑体"/>
          <w:bCs/>
          <w:snapToGrid w:val="0"/>
          <w:kern w:val="0"/>
          <w:sz w:val="24"/>
          <w:szCs w:val="24"/>
        </w:rPr>
      </w:pPr>
      <w:r>
        <w:rPr>
          <w:rStyle w:val="45"/>
          <w:rFonts w:hint="eastAsia" w:ascii="黑体" w:hAnsi="宋体" w:eastAsia="黑体"/>
          <w:bCs/>
          <w:snapToGrid w:val="0"/>
          <w:kern w:val="0"/>
          <w:sz w:val="24"/>
          <w:szCs w:val="24"/>
        </w:rPr>
        <w:t>重要会计政策和会计估计</w:t>
      </w:r>
    </w:p>
    <w:p>
      <w:pPr>
        <w:pStyle w:val="15"/>
        <w:numPr>
          <w:ilvl w:val="0"/>
          <w:numId w:val="4"/>
        </w:numPr>
        <w:tabs>
          <w:tab w:val="left" w:pos="851"/>
        </w:tabs>
        <w:snapToGrid w:val="0"/>
        <w:spacing w:line="460" w:lineRule="atLeast"/>
        <w:ind w:left="0" w:firstLine="420" w:firstLineChars="200"/>
        <w:outlineLvl w:val="1"/>
        <w:rPr>
          <w:rFonts w:hAnsi="宋体"/>
        </w:rPr>
      </w:pPr>
      <w:r>
        <w:rPr>
          <w:rFonts w:hint="eastAsia" w:hAnsi="宋体"/>
        </w:rPr>
        <w:t>遵循企业会计准则的声明</w:t>
      </w:r>
    </w:p>
    <w:p>
      <w:pPr>
        <w:pStyle w:val="15"/>
        <w:snapToGrid w:val="0"/>
        <w:spacing w:line="460" w:lineRule="atLeast"/>
        <w:ind w:firstLine="420" w:firstLineChars="200"/>
        <w:rPr>
          <w:rFonts w:hAnsi="宋体"/>
          <w:snapToGrid w:val="0"/>
          <w:kern w:val="0"/>
        </w:rPr>
      </w:pPr>
      <w:r>
        <w:rPr>
          <w:rFonts w:hint="eastAsia" w:hAnsi="宋体"/>
          <w:snapToGrid w:val="0"/>
          <w:kern w:val="0"/>
        </w:rPr>
        <w:t>本公司编制的财务报表符合《企业会计准则》的要求，真实、完整地反映了本公司</w:t>
      </w:r>
      <w:r>
        <w:rPr>
          <w:rFonts w:hAnsi="宋体"/>
          <w:snapToGrid w:val="0"/>
          <w:kern w:val="0"/>
        </w:rPr>
        <w:t>201</w:t>
      </w:r>
      <w:r>
        <w:rPr>
          <w:rFonts w:hint="eastAsia" w:hAnsi="宋体"/>
          <w:bCs/>
          <w:snapToGrid w:val="0"/>
          <w:kern w:val="0"/>
        </w:rPr>
        <w:t>7年</w:t>
      </w:r>
      <w:r>
        <w:rPr>
          <w:rFonts w:hAnsi="宋体"/>
          <w:bCs/>
          <w:snapToGrid w:val="0"/>
          <w:kern w:val="0"/>
        </w:rPr>
        <w:t>12</w:t>
      </w:r>
      <w:r>
        <w:rPr>
          <w:rFonts w:hint="eastAsia" w:hAnsi="宋体"/>
          <w:snapToGrid w:val="0"/>
          <w:kern w:val="0"/>
        </w:rPr>
        <w:t>月</w:t>
      </w:r>
      <w:r>
        <w:rPr>
          <w:rFonts w:hAnsi="宋体"/>
          <w:snapToGrid w:val="0"/>
          <w:kern w:val="0"/>
        </w:rPr>
        <w:t>31</w:t>
      </w:r>
      <w:r>
        <w:rPr>
          <w:rFonts w:hint="eastAsia" w:hAnsi="宋体"/>
          <w:snapToGrid w:val="0"/>
          <w:kern w:val="0"/>
        </w:rPr>
        <w:t>日的财务状况、</w:t>
      </w:r>
      <w:r>
        <w:rPr>
          <w:rFonts w:hAnsi="宋体"/>
          <w:snapToGrid w:val="0"/>
          <w:kern w:val="0"/>
        </w:rPr>
        <w:t>201</w:t>
      </w:r>
      <w:r>
        <w:rPr>
          <w:rFonts w:hint="eastAsia" w:hAnsi="宋体"/>
          <w:bCs/>
          <w:snapToGrid w:val="0"/>
          <w:kern w:val="0"/>
        </w:rPr>
        <w:t>7年度的</w:t>
      </w:r>
      <w:r>
        <w:rPr>
          <w:rFonts w:hint="eastAsia" w:hAnsi="宋体"/>
          <w:snapToGrid w:val="0"/>
          <w:kern w:val="0"/>
        </w:rPr>
        <w:t>经营成果和现金流量等相关信息。</w:t>
      </w:r>
    </w:p>
    <w:p>
      <w:pPr>
        <w:pStyle w:val="15"/>
        <w:numPr>
          <w:ilvl w:val="0"/>
          <w:numId w:val="4"/>
        </w:numPr>
        <w:tabs>
          <w:tab w:val="left" w:pos="851"/>
        </w:tabs>
        <w:snapToGrid w:val="0"/>
        <w:spacing w:line="460" w:lineRule="atLeast"/>
        <w:ind w:left="0" w:firstLine="420" w:firstLineChars="200"/>
        <w:outlineLvl w:val="1"/>
        <w:rPr>
          <w:rFonts w:hAnsi="宋体"/>
        </w:rPr>
      </w:pPr>
      <w:r>
        <w:rPr>
          <w:rFonts w:hint="eastAsia" w:hAnsi="宋体"/>
        </w:rPr>
        <w:t>会计期间</w:t>
      </w:r>
    </w:p>
    <w:p>
      <w:pPr>
        <w:pStyle w:val="15"/>
        <w:snapToGrid w:val="0"/>
        <w:spacing w:line="460" w:lineRule="atLeast"/>
        <w:ind w:firstLine="420" w:firstLineChars="200"/>
        <w:rPr>
          <w:rFonts w:hAnsi="宋体"/>
          <w:snapToGrid w:val="0"/>
          <w:kern w:val="0"/>
        </w:rPr>
      </w:pPr>
      <w:r>
        <w:rPr>
          <w:rFonts w:hint="eastAsia" w:hAnsi="宋体"/>
          <w:snapToGrid w:val="0"/>
          <w:kern w:val="0"/>
        </w:rPr>
        <w:t>本公司会计年度为公历年度，即每年</w:t>
      </w:r>
      <w:r>
        <w:rPr>
          <w:rFonts w:hAnsi="宋体"/>
          <w:snapToGrid w:val="0"/>
          <w:kern w:val="0"/>
        </w:rPr>
        <w:t>1</w:t>
      </w:r>
      <w:r>
        <w:rPr>
          <w:rFonts w:hint="eastAsia" w:hAnsi="宋体"/>
          <w:snapToGrid w:val="0"/>
          <w:kern w:val="0"/>
        </w:rPr>
        <w:t>月</w:t>
      </w:r>
      <w:r>
        <w:rPr>
          <w:rFonts w:hAnsi="宋体"/>
          <w:snapToGrid w:val="0"/>
          <w:kern w:val="0"/>
        </w:rPr>
        <w:t>1</w:t>
      </w:r>
      <w:r>
        <w:rPr>
          <w:rFonts w:hint="eastAsia" w:hAnsi="宋体"/>
          <w:snapToGrid w:val="0"/>
          <w:kern w:val="0"/>
        </w:rPr>
        <w:t>日起至</w:t>
      </w:r>
      <w:r>
        <w:rPr>
          <w:rFonts w:hAnsi="宋体"/>
          <w:snapToGrid w:val="0"/>
          <w:kern w:val="0"/>
        </w:rPr>
        <w:t>12</w:t>
      </w:r>
      <w:r>
        <w:rPr>
          <w:rFonts w:hint="eastAsia" w:hAnsi="宋体"/>
          <w:snapToGrid w:val="0"/>
          <w:kern w:val="0"/>
        </w:rPr>
        <w:t>月</w:t>
      </w:r>
      <w:r>
        <w:rPr>
          <w:rFonts w:hAnsi="宋体"/>
          <w:snapToGrid w:val="0"/>
          <w:kern w:val="0"/>
        </w:rPr>
        <w:t>31</w:t>
      </w:r>
      <w:r>
        <w:rPr>
          <w:rFonts w:hint="eastAsia" w:hAnsi="宋体"/>
          <w:snapToGrid w:val="0"/>
          <w:kern w:val="0"/>
        </w:rPr>
        <w:t>日止。</w:t>
      </w:r>
    </w:p>
    <w:p>
      <w:pPr>
        <w:pStyle w:val="15"/>
        <w:numPr>
          <w:ilvl w:val="0"/>
          <w:numId w:val="4"/>
        </w:numPr>
        <w:tabs>
          <w:tab w:val="left" w:pos="851"/>
        </w:tabs>
        <w:snapToGrid w:val="0"/>
        <w:spacing w:line="460" w:lineRule="atLeast"/>
        <w:ind w:left="0" w:firstLine="420" w:firstLineChars="200"/>
        <w:outlineLvl w:val="1"/>
        <w:rPr>
          <w:rFonts w:hAnsi="宋体"/>
        </w:rPr>
      </w:pPr>
      <w:r>
        <w:rPr>
          <w:rFonts w:hint="eastAsia" w:hAnsi="宋体"/>
        </w:rPr>
        <w:t>营业周期</w:t>
      </w:r>
    </w:p>
    <w:p>
      <w:pPr>
        <w:pStyle w:val="15"/>
        <w:snapToGrid w:val="0"/>
        <w:spacing w:line="460" w:lineRule="atLeast"/>
        <w:ind w:firstLine="420" w:firstLineChars="200"/>
        <w:rPr>
          <w:rFonts w:hAnsi="宋体"/>
          <w:snapToGrid w:val="0"/>
          <w:kern w:val="0"/>
        </w:rPr>
      </w:pPr>
      <w:r>
        <w:rPr>
          <w:rFonts w:hint="eastAsia" w:hAnsi="宋体"/>
          <w:snapToGrid w:val="0"/>
          <w:kern w:val="0"/>
        </w:rPr>
        <w:t>本公司以一年 12个月作为正常营业周期，并以营业周期作为资产和负债的流动性划分标准。</w:t>
      </w:r>
    </w:p>
    <w:p>
      <w:pPr>
        <w:pStyle w:val="15"/>
        <w:numPr>
          <w:ilvl w:val="0"/>
          <w:numId w:val="4"/>
        </w:numPr>
        <w:tabs>
          <w:tab w:val="left" w:pos="851"/>
        </w:tabs>
        <w:snapToGrid w:val="0"/>
        <w:spacing w:line="460" w:lineRule="atLeast"/>
        <w:ind w:left="0" w:firstLine="420" w:firstLineChars="200"/>
        <w:outlineLvl w:val="1"/>
        <w:rPr>
          <w:rFonts w:hAnsi="宋体"/>
        </w:rPr>
      </w:pPr>
      <w:r>
        <w:rPr>
          <w:rFonts w:hint="eastAsia" w:hAnsi="宋体"/>
        </w:rPr>
        <w:t>记账本位币</w:t>
      </w:r>
    </w:p>
    <w:p>
      <w:pPr>
        <w:pStyle w:val="15"/>
        <w:snapToGrid w:val="0"/>
        <w:spacing w:line="460" w:lineRule="atLeast"/>
        <w:ind w:firstLine="420" w:firstLineChars="200"/>
        <w:rPr>
          <w:rFonts w:hAnsi="宋体"/>
          <w:snapToGrid w:val="0"/>
          <w:kern w:val="0"/>
        </w:rPr>
      </w:pPr>
      <w:r>
        <w:rPr>
          <w:rFonts w:hint="eastAsia" w:hAnsi="宋体"/>
          <w:snapToGrid w:val="0"/>
          <w:kern w:val="0"/>
        </w:rPr>
        <w:t>本公司以人民币为记账本位币。</w:t>
      </w:r>
    </w:p>
    <w:p>
      <w:pPr>
        <w:pStyle w:val="15"/>
        <w:numPr>
          <w:ilvl w:val="0"/>
          <w:numId w:val="4"/>
        </w:numPr>
        <w:tabs>
          <w:tab w:val="left" w:pos="851"/>
        </w:tabs>
        <w:snapToGrid w:val="0"/>
        <w:spacing w:line="460" w:lineRule="atLeast"/>
        <w:ind w:left="0" w:firstLine="420" w:firstLineChars="200"/>
        <w:outlineLvl w:val="1"/>
        <w:rPr>
          <w:rFonts w:hAnsi="宋体"/>
        </w:rPr>
      </w:pPr>
      <w:r>
        <w:rPr>
          <w:rFonts w:hint="eastAsia" w:hAnsi="宋体"/>
        </w:rPr>
        <w:t>现金及现金等价物的确定标准</w:t>
      </w:r>
    </w:p>
    <w:p>
      <w:pPr>
        <w:pStyle w:val="15"/>
        <w:snapToGrid w:val="0"/>
        <w:spacing w:line="460" w:lineRule="atLeast"/>
        <w:ind w:firstLine="420" w:firstLineChars="200"/>
        <w:rPr>
          <w:rFonts w:hAnsi="宋体"/>
          <w:snapToGrid w:val="0"/>
          <w:kern w:val="0"/>
        </w:rPr>
      </w:pPr>
      <w:r>
        <w:rPr>
          <w:rFonts w:hint="eastAsia" w:hAnsi="宋体"/>
          <w:snapToGrid w:val="0"/>
          <w:kern w:val="0"/>
        </w:rPr>
        <w:t>本公司在编制现金流量表时所确定的现金，是指本公司库存现金以及可以随时用于支付的存款。在编制现金流量表时所确定的现金等价物，是指持有的期限短、流动性强、易于转换为已知金额现金、价值变动风险很小的投资。</w:t>
      </w:r>
    </w:p>
    <w:p>
      <w:pPr>
        <w:pStyle w:val="15"/>
        <w:numPr>
          <w:ilvl w:val="0"/>
          <w:numId w:val="4"/>
        </w:numPr>
        <w:tabs>
          <w:tab w:val="left" w:pos="851"/>
        </w:tabs>
        <w:snapToGrid w:val="0"/>
        <w:spacing w:line="460" w:lineRule="atLeast"/>
        <w:ind w:left="0" w:firstLine="420" w:firstLineChars="200"/>
        <w:outlineLvl w:val="1"/>
        <w:rPr>
          <w:rFonts w:hAnsi="宋体"/>
        </w:rPr>
      </w:pPr>
      <w:r>
        <w:rPr>
          <w:rFonts w:hint="eastAsia" w:hAnsi="宋体"/>
        </w:rPr>
        <w:t>外币业务及外币财务报表折算</w:t>
      </w:r>
    </w:p>
    <w:p>
      <w:pPr>
        <w:widowControl/>
        <w:spacing w:line="460" w:lineRule="atLeast"/>
        <w:ind w:firstLine="420" w:firstLineChars="200"/>
        <w:jc w:val="left"/>
        <w:rPr>
          <w:rFonts w:ascii="宋体" w:hAnsi="宋体" w:cs="宋体"/>
          <w:bCs/>
          <w:snapToGrid w:val="0"/>
          <w:kern w:val="0"/>
        </w:rPr>
      </w:pPr>
      <w:r>
        <w:rPr>
          <w:rFonts w:hint="eastAsia" w:ascii="宋体" w:hAnsi="宋体" w:cs="宋体"/>
          <w:bCs/>
          <w:snapToGrid w:val="0"/>
          <w:kern w:val="0"/>
        </w:rPr>
        <w:t>外币业务折算</w:t>
      </w:r>
    </w:p>
    <w:p>
      <w:pPr>
        <w:pStyle w:val="15"/>
        <w:snapToGrid w:val="0"/>
        <w:spacing w:line="460" w:lineRule="atLeast"/>
        <w:ind w:firstLine="420" w:firstLineChars="200"/>
        <w:rPr>
          <w:rFonts w:hAnsi="宋体"/>
          <w:snapToGrid w:val="0"/>
          <w:kern w:val="0"/>
        </w:rPr>
      </w:pPr>
      <w:r>
        <w:rPr>
          <w:rFonts w:hint="eastAsia" w:hAnsi="宋体"/>
          <w:snapToGrid w:val="0"/>
          <w:kern w:val="0"/>
        </w:rPr>
        <w:t>本公司对发生的外币交易，采用与交易发生日即期汇率的近似汇率折合本位币入账。资产负债表日外币货币性项目按资产负债表日即期汇率折算，因该日的即期汇率与初始确认时或者前一资产负债表日即期汇率不同而产生的汇兑差额，除符合资本化条件的外币专门借款的汇兑差额在资本化期间予以资本化计入相关资产的成本外，均计入当期损益。以历史成本计量的外币非货币性项目，仍采用交易发生日的即期汇率折算，不改变其记账本位币金额。以公允价值计量的外币非货币性项目，采用公允价值确定日的即期汇率折算，折算后的记账本位币金额与原记账本位币金额的差额，作为公允价值变动</w:t>
      </w:r>
      <w:r>
        <w:rPr>
          <w:rFonts w:hAnsi="宋体"/>
          <w:snapToGrid w:val="0"/>
          <w:kern w:val="0"/>
        </w:rPr>
        <w:t>(</w:t>
      </w:r>
      <w:r>
        <w:rPr>
          <w:rFonts w:hint="eastAsia" w:hAnsi="宋体"/>
          <w:snapToGrid w:val="0"/>
          <w:kern w:val="0"/>
        </w:rPr>
        <w:t>含汇率变动</w:t>
      </w:r>
      <w:r>
        <w:rPr>
          <w:rFonts w:hAnsi="宋体"/>
          <w:snapToGrid w:val="0"/>
          <w:kern w:val="0"/>
        </w:rPr>
        <w:t>)</w:t>
      </w:r>
      <w:r>
        <w:rPr>
          <w:rFonts w:hint="eastAsia" w:hAnsi="宋体"/>
          <w:snapToGrid w:val="0"/>
          <w:kern w:val="0"/>
        </w:rPr>
        <w:t>处理，计入当期损益或确认为其他综合收益。</w:t>
      </w:r>
    </w:p>
    <w:p>
      <w:pPr>
        <w:pStyle w:val="15"/>
        <w:numPr>
          <w:ilvl w:val="0"/>
          <w:numId w:val="4"/>
        </w:numPr>
        <w:tabs>
          <w:tab w:val="left" w:pos="851"/>
        </w:tabs>
        <w:snapToGrid w:val="0"/>
        <w:spacing w:line="460" w:lineRule="atLeast"/>
        <w:ind w:left="0" w:firstLine="420" w:firstLineChars="200"/>
        <w:outlineLvl w:val="1"/>
        <w:rPr>
          <w:rFonts w:hAnsi="宋体"/>
        </w:rPr>
      </w:pPr>
      <w:r>
        <w:rPr>
          <w:rFonts w:hint="eastAsia" w:hAnsi="宋体"/>
        </w:rPr>
        <w:t>金融工具</w:t>
      </w:r>
    </w:p>
    <w:p>
      <w:pPr>
        <w:widowControl/>
        <w:spacing w:line="460" w:lineRule="atLeast"/>
        <w:ind w:firstLine="420" w:firstLineChars="200"/>
        <w:jc w:val="left"/>
        <w:rPr>
          <w:rFonts w:ascii="宋体" w:hAnsi="宋体" w:cs="宋体"/>
          <w:bCs/>
          <w:snapToGrid w:val="0"/>
          <w:kern w:val="0"/>
        </w:rPr>
      </w:pPr>
      <w:r>
        <w:rPr>
          <w:rFonts w:hint="eastAsia" w:ascii="宋体" w:hAnsi="宋体" w:cs="宋体"/>
          <w:bCs/>
          <w:snapToGrid w:val="0"/>
          <w:kern w:val="0"/>
        </w:rPr>
        <w:t>1、金融工具的分类及确认</w:t>
      </w:r>
    </w:p>
    <w:p>
      <w:pPr>
        <w:pStyle w:val="15"/>
        <w:snapToGrid w:val="0"/>
        <w:spacing w:line="460" w:lineRule="atLeast"/>
        <w:ind w:firstLine="420" w:firstLineChars="200"/>
        <w:rPr>
          <w:rFonts w:hAnsi="宋体"/>
          <w:snapToGrid w:val="0"/>
          <w:kern w:val="0"/>
        </w:rPr>
      </w:pPr>
      <w:r>
        <w:rPr>
          <w:rFonts w:hint="eastAsia" w:hAnsi="宋体"/>
          <w:snapToGrid w:val="0"/>
          <w:kern w:val="0"/>
        </w:rPr>
        <w:t>金融工具划分为金融资产或金融负债和权益工具。本公司成为金融工具合同的一方时，确认为一项金融资产或金融负债，或权益工具。</w:t>
      </w:r>
    </w:p>
    <w:p>
      <w:pPr>
        <w:pStyle w:val="15"/>
        <w:snapToGrid w:val="0"/>
        <w:spacing w:line="460" w:lineRule="atLeast"/>
        <w:ind w:firstLine="420" w:firstLineChars="200"/>
        <w:rPr>
          <w:rFonts w:hAnsi="宋体"/>
          <w:snapToGrid w:val="0"/>
          <w:kern w:val="0"/>
        </w:rPr>
      </w:pPr>
      <w:r>
        <w:rPr>
          <w:rFonts w:hint="eastAsia" w:hAnsi="宋体"/>
          <w:snapToGrid w:val="0"/>
          <w:kern w:val="0"/>
        </w:rPr>
        <w:t>金融资产于初始确认时分类为：以公允价值计量且其变动计入当期损益的金融资产、持有至到期投资、应收款项、可供出售金融资产。除应收款项以外的金融资产的分类取决于本公司及其子公司对金融资产的持有意图和持有能力等。金融负债于初始确认时分类为：以公允价值计量且其变动计入当期损益的金融负债以及其他金融负债。</w:t>
      </w:r>
    </w:p>
    <w:p>
      <w:pPr>
        <w:pStyle w:val="15"/>
        <w:snapToGrid w:val="0"/>
        <w:spacing w:line="460" w:lineRule="atLeast"/>
        <w:ind w:firstLine="420" w:firstLineChars="200"/>
        <w:rPr>
          <w:rFonts w:hAnsi="宋体"/>
          <w:snapToGrid w:val="0"/>
          <w:kern w:val="0"/>
        </w:rPr>
      </w:pPr>
      <w:r>
        <w:rPr>
          <w:rFonts w:hint="eastAsia" w:hAnsi="宋体"/>
          <w:snapToGrid w:val="0"/>
          <w:kern w:val="0"/>
        </w:rPr>
        <w:t>以公允价值计量且其变动计入当期损益的金融资产包括持有目的为短期内出售的交易性金融资产和初始确认时指定为以公允价值计量且其变动计入当期损益的金融资产；应收款项是指在活跃市场中没有报价、回收金额固定或可确定的非衍生金融资产；可供出售金融资产包括初始确认时即被指定为可供出售的非衍生金融资产及未被划分为其他类的金融资产；持有至到期投资是指到期日固定、回收金额固定或可确定，且管理层有明确意图和能力持有至到期的非衍生金融资产。</w:t>
      </w:r>
    </w:p>
    <w:p>
      <w:pPr>
        <w:widowControl/>
        <w:spacing w:line="460" w:lineRule="atLeast"/>
        <w:ind w:firstLine="420" w:firstLineChars="200"/>
        <w:jc w:val="left"/>
        <w:rPr>
          <w:rFonts w:ascii="宋体" w:hAnsi="宋体" w:cs="宋体"/>
          <w:bCs/>
          <w:snapToGrid w:val="0"/>
          <w:kern w:val="0"/>
        </w:rPr>
      </w:pPr>
      <w:r>
        <w:rPr>
          <w:rFonts w:hint="eastAsia" w:ascii="宋体" w:hAnsi="宋体" w:cs="宋体"/>
          <w:bCs/>
          <w:snapToGrid w:val="0"/>
          <w:kern w:val="0"/>
        </w:rPr>
        <w:t>2、金融工具的计量</w:t>
      </w:r>
    </w:p>
    <w:p>
      <w:pPr>
        <w:pStyle w:val="15"/>
        <w:snapToGrid w:val="0"/>
        <w:spacing w:line="460" w:lineRule="atLeast"/>
        <w:ind w:firstLine="420" w:firstLineChars="200"/>
        <w:rPr>
          <w:rFonts w:hAnsi="宋体"/>
          <w:snapToGrid w:val="0"/>
          <w:kern w:val="0"/>
        </w:rPr>
      </w:pPr>
      <w:r>
        <w:rPr>
          <w:rFonts w:hint="eastAsia" w:hAnsi="宋体"/>
          <w:snapToGrid w:val="0"/>
          <w:kern w:val="0"/>
        </w:rPr>
        <w:t>本公司金融工具始确认按公允价值计量。后续计量分类为：以公允价值计量且其变动计入当期损益的金融资产、可供出售金融资产及以公允价值计量且其变动计入当期损益的金融负债按公允价值计量；持有到期投资、贷款和应收款项以及其他金融负债按摊余成本计量；在活跃市场中没有报价且其公允价值不能可靠计量的权益工具投资，以及与该权益工具挂钩并须通过交付该权益工具结算的衍生金融资产或者衍生金融负债，按照成本计量。本公司金融资产或金融负债后续计量中公允价值变动形成的利得或损失，除与套期保值有关外，按照如下方法处理：①以公允价值计量且其变动计入当期损益的金融资产或金融负债公允价值变动形成的利得或损失，计入公允价值变动损益。②可供出售金融资产的公允价值变动计入其他综合收益。</w:t>
      </w:r>
    </w:p>
    <w:p>
      <w:pPr>
        <w:pStyle w:val="15"/>
        <w:snapToGrid w:val="0"/>
        <w:spacing w:line="460" w:lineRule="atLeast"/>
        <w:ind w:firstLine="420" w:firstLineChars="200"/>
        <w:rPr>
          <w:rFonts w:hAnsi="宋体"/>
          <w:snapToGrid w:val="0"/>
          <w:kern w:val="0"/>
        </w:rPr>
      </w:pPr>
      <w:r>
        <w:rPr>
          <w:rFonts w:hint="eastAsia" w:hAnsi="宋体"/>
          <w:snapToGrid w:val="0"/>
          <w:kern w:val="0"/>
        </w:rPr>
        <w:t>3、本公司对金融工具的公允价值的确认方法</w:t>
      </w:r>
    </w:p>
    <w:p>
      <w:pPr>
        <w:pStyle w:val="15"/>
        <w:snapToGrid w:val="0"/>
        <w:spacing w:line="460" w:lineRule="atLeast"/>
        <w:ind w:firstLine="420" w:firstLineChars="200"/>
        <w:rPr>
          <w:rFonts w:hAnsi="宋体"/>
          <w:snapToGrid w:val="0"/>
          <w:kern w:val="0"/>
        </w:rPr>
      </w:pPr>
      <w:r>
        <w:rPr>
          <w:rFonts w:hint="eastAsia" w:hAnsi="宋体"/>
          <w:snapToGrid w:val="0"/>
          <w:kern w:val="0"/>
        </w:rPr>
        <w:t>如存在活跃市场的金融工具，以活跃市场中的报价确定其公允价值；如不存在活跃市场的金融工具，采用估值技术确定其公允价值。估值技术主要包括市场法、收益法和成本法。</w:t>
      </w:r>
    </w:p>
    <w:p>
      <w:pPr>
        <w:widowControl/>
        <w:spacing w:line="460" w:lineRule="atLeast"/>
        <w:ind w:firstLine="420" w:firstLineChars="200"/>
        <w:jc w:val="left"/>
        <w:rPr>
          <w:rFonts w:ascii="宋体" w:hAnsi="宋体" w:cs="宋体"/>
          <w:bCs/>
          <w:snapToGrid w:val="0"/>
          <w:kern w:val="0"/>
        </w:rPr>
      </w:pPr>
      <w:r>
        <w:rPr>
          <w:rFonts w:hint="eastAsia" w:ascii="宋体" w:hAnsi="宋体" w:cs="宋体"/>
          <w:bCs/>
          <w:snapToGrid w:val="0"/>
          <w:kern w:val="0"/>
        </w:rPr>
        <w:t>4、金融资产负债转移的确认依据和计量方法</w:t>
      </w:r>
    </w:p>
    <w:p>
      <w:pPr>
        <w:pStyle w:val="15"/>
        <w:snapToGrid w:val="0"/>
        <w:spacing w:line="460" w:lineRule="atLeast"/>
        <w:ind w:firstLine="420" w:firstLineChars="200"/>
        <w:rPr>
          <w:rFonts w:hAnsi="宋体"/>
          <w:snapToGrid w:val="0"/>
          <w:kern w:val="0"/>
        </w:rPr>
      </w:pPr>
      <w:r>
        <w:rPr>
          <w:rFonts w:hint="eastAsia" w:hAnsi="宋体"/>
          <w:snapToGrid w:val="0"/>
          <w:kern w:val="0"/>
        </w:rPr>
        <w:t>金融资产所有权上几乎所有的风险和报酬转移时，或既没有转移也没有保留金融资产所有权上几乎所有的风险和报酬，但放弃了对该金融资产控制的，应当终止确认该项金融资产。金融资产满足终止确认条件的，将所转移金融资产的账面价值与因转移而收到的对价和原直接计入其他综合收益的公允价值变动累计额之和的差额部分，计入当期损益。部分转移满足终止确认条件的，将所转移金融资产整体的账面价值，在终止确认部分和未终止确认部分之间，按照各自的相对公允价值进行分摊。</w:t>
      </w:r>
    </w:p>
    <w:p>
      <w:pPr>
        <w:pStyle w:val="15"/>
        <w:snapToGrid w:val="0"/>
        <w:spacing w:line="460" w:lineRule="atLeast"/>
        <w:ind w:firstLine="420" w:firstLineChars="200"/>
        <w:rPr>
          <w:rFonts w:hAnsi="宋体"/>
          <w:snapToGrid w:val="0"/>
          <w:kern w:val="0"/>
        </w:rPr>
      </w:pPr>
      <w:r>
        <w:rPr>
          <w:rFonts w:hint="eastAsia" w:hAnsi="宋体"/>
          <w:snapToGrid w:val="0"/>
          <w:kern w:val="0"/>
        </w:rPr>
        <w:t>金融负债的现时义务全部或部分已经解除的，则应终止确认该金融负债或其一部分。</w:t>
      </w:r>
    </w:p>
    <w:p>
      <w:pPr>
        <w:widowControl/>
        <w:spacing w:line="460" w:lineRule="atLeast"/>
        <w:ind w:firstLine="420" w:firstLineChars="200"/>
        <w:jc w:val="left"/>
        <w:rPr>
          <w:rFonts w:ascii="宋体" w:hAnsi="宋体" w:cs="宋体"/>
          <w:bCs/>
          <w:snapToGrid w:val="0"/>
          <w:kern w:val="0"/>
        </w:rPr>
      </w:pPr>
      <w:r>
        <w:rPr>
          <w:rFonts w:hint="eastAsia" w:ascii="宋体" w:hAnsi="宋体" w:cs="宋体"/>
          <w:bCs/>
          <w:snapToGrid w:val="0"/>
          <w:kern w:val="0"/>
        </w:rPr>
        <w:t>5、金融资产减值</w:t>
      </w:r>
    </w:p>
    <w:p>
      <w:pPr>
        <w:pStyle w:val="15"/>
        <w:snapToGrid w:val="0"/>
        <w:spacing w:after="156" w:afterLines="50" w:line="460" w:lineRule="atLeast"/>
        <w:ind w:firstLine="420" w:firstLineChars="200"/>
        <w:rPr>
          <w:rFonts w:hAnsi="宋体"/>
          <w:snapToGrid w:val="0"/>
          <w:kern w:val="0"/>
        </w:rPr>
      </w:pPr>
      <w:r>
        <w:rPr>
          <w:rFonts w:hint="eastAsia" w:hAnsi="宋体"/>
          <w:snapToGrid w:val="0"/>
          <w:kern w:val="0"/>
        </w:rPr>
        <w:t>以摊余成本计量的金融资产发生减值时，按预计未来现金流量(不包括尚未发生的未来信用损失)现值低于账面价值的差额，计提减值准备。如果有客观证据表明该金融资产价值已恢复，且客观上与确认该损失后发生的事项有关，原确认的减值损失予以转回，计入当期损益。</w:t>
      </w:r>
    </w:p>
    <w:p>
      <w:pPr>
        <w:pStyle w:val="15"/>
        <w:snapToGrid w:val="0"/>
        <w:spacing w:after="156" w:afterLines="50" w:line="460" w:lineRule="atLeast"/>
        <w:ind w:firstLine="420" w:firstLineChars="200"/>
        <w:rPr>
          <w:rFonts w:hAnsi="宋体"/>
          <w:snapToGrid w:val="0"/>
          <w:kern w:val="0"/>
        </w:rPr>
      </w:pPr>
      <w:r>
        <w:rPr>
          <w:rFonts w:hint="eastAsia" w:hAnsi="宋体"/>
          <w:snapToGrid w:val="0"/>
          <w:kern w:val="0"/>
        </w:rPr>
        <w:t>以成本计量的金融资产发生减值时，按预计未来现金流量</w:t>
      </w:r>
      <w:r>
        <w:rPr>
          <w:rFonts w:hAnsi="宋体"/>
          <w:snapToGrid w:val="0"/>
          <w:kern w:val="0"/>
        </w:rPr>
        <w:t>(不包括尚未发生的未来信用损失)现值低于账面价值的差额，计提减值准备</w:t>
      </w:r>
      <w:r>
        <w:rPr>
          <w:rFonts w:hint="eastAsia" w:hAnsi="宋体"/>
          <w:snapToGrid w:val="0"/>
          <w:kern w:val="0"/>
        </w:rPr>
        <w:t>。发生的减值损失，一经确认，不再转回。</w:t>
      </w:r>
    </w:p>
    <w:p>
      <w:pPr>
        <w:pStyle w:val="15"/>
        <w:snapToGrid w:val="0"/>
        <w:spacing w:after="156" w:afterLines="50" w:line="460" w:lineRule="atLeast"/>
        <w:ind w:firstLine="420" w:firstLineChars="200"/>
        <w:rPr>
          <w:rFonts w:hAnsi="宋体"/>
          <w:snapToGrid w:val="0"/>
          <w:kern w:val="0"/>
        </w:rPr>
      </w:pPr>
      <w:r>
        <w:rPr>
          <w:rFonts w:hint="eastAsia" w:hAnsi="宋体"/>
          <w:snapToGrid w:val="0"/>
          <w:kern w:val="0"/>
        </w:rPr>
        <w:t>当有客观证据表明可供出售金融资产发生减值时，原直接计入股东权益的因公允价值下降形成的累计损失予以转出并计入减值损失。对已确认减值损失的可供出售债务工具投资，在期后公允价值上升且客观上与确认原减值损失后发生的事项有关的，原确认的减值损失予以转回并计入当期损益。对已确认减值损失的可供出售权益工具投资，期后公允价值上升直接计入股东权益。</w:t>
      </w:r>
    </w:p>
    <w:p>
      <w:pPr>
        <w:pStyle w:val="15"/>
        <w:snapToGrid w:val="0"/>
        <w:spacing w:after="156" w:afterLines="50" w:line="460" w:lineRule="atLeast"/>
        <w:ind w:firstLine="420" w:firstLineChars="200"/>
        <w:rPr>
          <w:rFonts w:hAnsi="宋体"/>
          <w:snapToGrid w:val="0"/>
          <w:kern w:val="0"/>
        </w:rPr>
      </w:pPr>
      <w:r>
        <w:rPr>
          <w:rFonts w:hint="eastAsia" w:hAnsi="宋体"/>
          <w:snapToGrid w:val="0"/>
          <w:color w:val="000000"/>
          <w:kern w:val="0"/>
        </w:rPr>
        <w:t>对于权益工具投资，本公司判断其公允价值发生“严重”或“非暂时性”下跌的具体量化标准、成本的计算方法、期末公允价值的确定方法，以及持续下跌期间的确定依据为：</w:t>
      </w:r>
    </w:p>
    <w:tbl>
      <w:tblPr>
        <w:tblStyle w:val="31"/>
        <w:tblW w:w="8720" w:type="dxa"/>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4077"/>
        <w:gridCol w:w="4643"/>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4077" w:type="dxa"/>
            <w:tcBorders>
              <w:top w:val="single" w:color="auto" w:sz="12" w:space="0"/>
            </w:tcBorders>
            <w:vAlign w:val="center"/>
          </w:tcPr>
          <w:p>
            <w:pPr>
              <w:pStyle w:val="59"/>
              <w:adjustRightInd w:val="0"/>
              <w:snapToGrid w:val="0"/>
              <w:spacing w:after="0"/>
              <w:ind w:left="0" w:leftChars="0"/>
              <w:jc w:val="left"/>
              <w:rPr>
                <w:rFonts w:ascii="宋体" w:hAnsi="宋体"/>
                <w:snapToGrid w:val="0"/>
                <w:kern w:val="0"/>
                <w:sz w:val="18"/>
                <w:szCs w:val="18"/>
              </w:rPr>
            </w:pPr>
            <w:r>
              <w:rPr>
                <w:rFonts w:hint="eastAsia" w:ascii="宋体" w:hAnsi="宋体"/>
                <w:snapToGrid w:val="0"/>
                <w:kern w:val="0"/>
                <w:sz w:val="18"/>
                <w:szCs w:val="18"/>
              </w:rPr>
              <w:t>公允价值发生“严重”下跌的具体量化标准</w:t>
            </w:r>
          </w:p>
        </w:tc>
        <w:tc>
          <w:tcPr>
            <w:tcW w:w="4643" w:type="dxa"/>
            <w:tcBorders>
              <w:top w:val="single" w:color="auto" w:sz="12" w:space="0"/>
            </w:tcBorders>
            <w:vAlign w:val="center"/>
          </w:tcPr>
          <w:p>
            <w:pPr>
              <w:pStyle w:val="59"/>
              <w:adjustRightInd w:val="0"/>
              <w:snapToGrid w:val="0"/>
              <w:spacing w:after="0"/>
              <w:ind w:left="0" w:leftChars="0"/>
              <w:rPr>
                <w:rFonts w:ascii="宋体" w:hAnsi="宋体" w:cs="仿宋_GB2312"/>
                <w:snapToGrid w:val="0"/>
                <w:color w:val="000000" w:themeColor="text1"/>
                <w:kern w:val="0"/>
                <w:sz w:val="18"/>
                <w:szCs w:val="18"/>
              </w:rPr>
            </w:pPr>
            <w:r>
              <w:rPr>
                <w:rFonts w:hint="eastAsia" w:ascii="宋体" w:hAnsi="宋体"/>
                <w:snapToGrid w:val="0"/>
                <w:color w:val="000000" w:themeColor="text1"/>
                <w:kern w:val="0"/>
                <w:sz w:val="18"/>
                <w:szCs w:val="18"/>
              </w:rPr>
              <w:t>期末公允价值相对于成本的下跌幅度已达到或超过</w:t>
            </w:r>
            <w:r>
              <w:rPr>
                <w:rFonts w:ascii="宋体" w:hAnsi="宋体"/>
                <w:snapToGrid w:val="0"/>
                <w:color w:val="000000" w:themeColor="text1"/>
                <w:kern w:val="0"/>
                <w:sz w:val="18"/>
                <w:szCs w:val="18"/>
              </w:rPr>
              <w:t>50%</w:t>
            </w:r>
            <w:r>
              <w:rPr>
                <w:rFonts w:hint="eastAsia" w:ascii="宋体" w:hAnsi="宋体"/>
                <w:snapToGrid w:val="0"/>
                <w:color w:val="000000" w:themeColor="text1"/>
                <w:kern w:val="0"/>
                <w:sz w:val="18"/>
                <w:szCs w:val="18"/>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4077" w:type="dxa"/>
            <w:vAlign w:val="center"/>
          </w:tcPr>
          <w:p>
            <w:pPr>
              <w:pStyle w:val="59"/>
              <w:adjustRightInd w:val="0"/>
              <w:snapToGrid w:val="0"/>
              <w:spacing w:after="0"/>
              <w:ind w:left="0" w:leftChars="0"/>
              <w:jc w:val="left"/>
              <w:rPr>
                <w:rFonts w:ascii="宋体" w:hAnsi="宋体"/>
                <w:snapToGrid w:val="0"/>
                <w:kern w:val="0"/>
                <w:sz w:val="18"/>
                <w:szCs w:val="18"/>
              </w:rPr>
            </w:pPr>
            <w:r>
              <w:rPr>
                <w:rFonts w:hint="eastAsia" w:ascii="宋体" w:hAnsi="宋体"/>
                <w:snapToGrid w:val="0"/>
                <w:kern w:val="0"/>
                <w:sz w:val="18"/>
                <w:szCs w:val="18"/>
              </w:rPr>
              <w:t>公允价值发生“非暂时性”下跌的具体量化标准</w:t>
            </w:r>
          </w:p>
        </w:tc>
        <w:tc>
          <w:tcPr>
            <w:tcW w:w="4643" w:type="dxa"/>
            <w:vAlign w:val="center"/>
          </w:tcPr>
          <w:p>
            <w:pPr>
              <w:pStyle w:val="59"/>
              <w:adjustRightInd w:val="0"/>
              <w:snapToGrid w:val="0"/>
              <w:spacing w:after="0"/>
              <w:ind w:left="0" w:leftChars="0"/>
              <w:rPr>
                <w:rFonts w:ascii="宋体" w:hAnsi="宋体" w:cs="仿宋_GB2312"/>
                <w:snapToGrid w:val="0"/>
                <w:color w:val="000000" w:themeColor="text1"/>
                <w:kern w:val="0"/>
                <w:sz w:val="18"/>
                <w:szCs w:val="18"/>
              </w:rPr>
            </w:pPr>
            <w:r>
              <w:rPr>
                <w:rFonts w:hint="eastAsia" w:ascii="宋体" w:hAnsi="宋体"/>
                <w:snapToGrid w:val="0"/>
                <w:color w:val="000000" w:themeColor="text1"/>
                <w:kern w:val="0"/>
                <w:sz w:val="18"/>
                <w:szCs w:val="18"/>
              </w:rPr>
              <w:t>连续</w:t>
            </w:r>
            <w:r>
              <w:rPr>
                <w:rFonts w:ascii="宋体" w:hAnsi="宋体"/>
                <w:snapToGrid w:val="0"/>
                <w:color w:val="000000" w:themeColor="text1"/>
                <w:kern w:val="0"/>
                <w:sz w:val="18"/>
                <w:szCs w:val="18"/>
              </w:rPr>
              <w:t>12</w:t>
            </w:r>
            <w:r>
              <w:rPr>
                <w:rFonts w:hint="eastAsia" w:ascii="宋体" w:hAnsi="宋体"/>
                <w:snapToGrid w:val="0"/>
                <w:color w:val="000000" w:themeColor="text1"/>
                <w:kern w:val="0"/>
                <w:sz w:val="18"/>
                <w:szCs w:val="18"/>
              </w:rPr>
              <w:t>个月出现下跌。</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4077" w:type="dxa"/>
            <w:vAlign w:val="center"/>
          </w:tcPr>
          <w:p>
            <w:pPr>
              <w:pStyle w:val="59"/>
              <w:adjustRightInd w:val="0"/>
              <w:snapToGrid w:val="0"/>
              <w:spacing w:after="0"/>
              <w:ind w:left="0" w:leftChars="0"/>
              <w:jc w:val="left"/>
              <w:rPr>
                <w:rFonts w:ascii="宋体" w:hAnsi="宋体"/>
                <w:snapToGrid w:val="0"/>
                <w:kern w:val="0"/>
                <w:sz w:val="18"/>
                <w:szCs w:val="18"/>
              </w:rPr>
            </w:pPr>
            <w:r>
              <w:rPr>
                <w:rFonts w:hint="eastAsia" w:ascii="宋体" w:hAnsi="宋体"/>
                <w:snapToGrid w:val="0"/>
                <w:kern w:val="0"/>
                <w:sz w:val="18"/>
                <w:szCs w:val="18"/>
              </w:rPr>
              <w:t>成本的计算方法</w:t>
            </w:r>
          </w:p>
        </w:tc>
        <w:tc>
          <w:tcPr>
            <w:tcW w:w="4643" w:type="dxa"/>
            <w:vAlign w:val="center"/>
          </w:tcPr>
          <w:p>
            <w:pPr>
              <w:pStyle w:val="59"/>
              <w:adjustRightInd w:val="0"/>
              <w:snapToGrid w:val="0"/>
              <w:spacing w:after="0"/>
              <w:ind w:left="0" w:leftChars="0"/>
              <w:rPr>
                <w:rFonts w:ascii="宋体" w:hAnsi="宋体" w:cs="仿宋_GB2312"/>
                <w:snapToGrid w:val="0"/>
                <w:color w:val="000000" w:themeColor="text1"/>
                <w:kern w:val="0"/>
                <w:sz w:val="18"/>
                <w:szCs w:val="18"/>
              </w:rPr>
            </w:pPr>
            <w:r>
              <w:rPr>
                <w:rFonts w:hint="eastAsia" w:ascii="宋体" w:hAnsi="宋体"/>
                <w:snapToGrid w:val="0"/>
                <w:color w:val="000000" w:themeColor="text1"/>
                <w:kern w:val="0"/>
                <w:sz w:val="18"/>
                <w:szCs w:val="18"/>
              </w:rPr>
              <w:t>取得时按支付对价（扣除已宣告但尚未发放的现金股利或已到付息期但尚未领取的债券利息）和相关交易费用之和作为投资成本。</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4077" w:type="dxa"/>
            <w:vAlign w:val="center"/>
          </w:tcPr>
          <w:p>
            <w:pPr>
              <w:pStyle w:val="59"/>
              <w:adjustRightInd w:val="0"/>
              <w:snapToGrid w:val="0"/>
              <w:spacing w:after="0"/>
              <w:ind w:left="0" w:leftChars="0"/>
              <w:jc w:val="left"/>
              <w:rPr>
                <w:rFonts w:ascii="宋体" w:hAnsi="宋体"/>
                <w:snapToGrid w:val="0"/>
                <w:kern w:val="0"/>
                <w:sz w:val="18"/>
                <w:szCs w:val="18"/>
              </w:rPr>
            </w:pPr>
            <w:r>
              <w:rPr>
                <w:rFonts w:hint="eastAsia" w:ascii="宋体" w:hAnsi="宋体"/>
                <w:snapToGrid w:val="0"/>
                <w:kern w:val="0"/>
                <w:sz w:val="18"/>
                <w:szCs w:val="18"/>
              </w:rPr>
              <w:t>期末公允价值的确定方法</w:t>
            </w:r>
          </w:p>
        </w:tc>
        <w:tc>
          <w:tcPr>
            <w:tcW w:w="4643" w:type="dxa"/>
            <w:vAlign w:val="center"/>
          </w:tcPr>
          <w:p>
            <w:pPr>
              <w:pStyle w:val="59"/>
              <w:adjustRightInd w:val="0"/>
              <w:snapToGrid w:val="0"/>
              <w:spacing w:after="0"/>
              <w:ind w:left="0" w:leftChars="0"/>
              <w:rPr>
                <w:rFonts w:ascii="宋体" w:hAnsi="宋体" w:cs="仿宋_GB2312"/>
                <w:snapToGrid w:val="0"/>
                <w:color w:val="000000" w:themeColor="text1"/>
                <w:kern w:val="0"/>
                <w:sz w:val="18"/>
                <w:szCs w:val="18"/>
              </w:rPr>
            </w:pPr>
            <w:r>
              <w:rPr>
                <w:rFonts w:hint="eastAsia" w:ascii="宋体" w:hAnsi="宋体"/>
                <w:snapToGrid w:val="0"/>
                <w:color w:val="000000" w:themeColor="text1"/>
                <w:kern w:val="0"/>
                <w:sz w:val="18"/>
                <w:szCs w:val="18"/>
              </w:rPr>
              <w:t>存在活跃市场的金融工具，以活跃市场中的报价确定其公允价值；如不存在活跃市场的金融工具，采用估值技术确定其公允价值。</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4077" w:type="dxa"/>
            <w:tcBorders>
              <w:bottom w:val="single" w:color="auto" w:sz="12" w:space="0"/>
            </w:tcBorders>
            <w:vAlign w:val="center"/>
          </w:tcPr>
          <w:p>
            <w:pPr>
              <w:pStyle w:val="59"/>
              <w:adjustRightInd w:val="0"/>
              <w:snapToGrid w:val="0"/>
              <w:spacing w:after="0"/>
              <w:ind w:left="0" w:leftChars="0"/>
              <w:jc w:val="left"/>
              <w:rPr>
                <w:rFonts w:ascii="宋体" w:hAnsi="宋体"/>
                <w:snapToGrid w:val="0"/>
                <w:kern w:val="0"/>
                <w:sz w:val="18"/>
                <w:szCs w:val="18"/>
              </w:rPr>
            </w:pPr>
            <w:r>
              <w:rPr>
                <w:rFonts w:hint="eastAsia" w:ascii="宋体" w:hAnsi="宋体"/>
                <w:snapToGrid w:val="0"/>
                <w:kern w:val="0"/>
                <w:sz w:val="18"/>
                <w:szCs w:val="18"/>
              </w:rPr>
              <w:t>持续下跌期间的确定依据</w:t>
            </w:r>
          </w:p>
        </w:tc>
        <w:tc>
          <w:tcPr>
            <w:tcW w:w="4643" w:type="dxa"/>
            <w:tcBorders>
              <w:bottom w:val="single" w:color="auto" w:sz="12" w:space="0"/>
            </w:tcBorders>
            <w:vAlign w:val="center"/>
          </w:tcPr>
          <w:p>
            <w:pPr>
              <w:pStyle w:val="59"/>
              <w:adjustRightInd w:val="0"/>
              <w:snapToGrid w:val="0"/>
              <w:spacing w:after="0"/>
              <w:ind w:left="0" w:leftChars="0"/>
              <w:rPr>
                <w:rFonts w:ascii="宋体" w:hAnsi="宋体" w:cs="仿宋_GB2312"/>
                <w:snapToGrid w:val="0"/>
                <w:color w:val="000000" w:themeColor="text1"/>
                <w:kern w:val="0"/>
                <w:sz w:val="18"/>
                <w:szCs w:val="18"/>
              </w:rPr>
            </w:pPr>
            <w:r>
              <w:rPr>
                <w:rFonts w:hint="eastAsia" w:ascii="宋体" w:hAnsi="宋体"/>
                <w:snapToGrid w:val="0"/>
                <w:color w:val="000000" w:themeColor="text1"/>
                <w:kern w:val="0"/>
                <w:sz w:val="18"/>
                <w:szCs w:val="18"/>
              </w:rPr>
              <w:t>连续下跌或在下跌趋势持续期间反弹上扬幅度低于</w:t>
            </w:r>
            <w:r>
              <w:rPr>
                <w:rFonts w:ascii="宋体" w:hAnsi="宋体"/>
                <w:snapToGrid w:val="0"/>
                <w:color w:val="000000" w:themeColor="text1"/>
                <w:kern w:val="0"/>
                <w:sz w:val="18"/>
                <w:szCs w:val="18"/>
              </w:rPr>
              <w:t>20%</w:t>
            </w:r>
            <w:r>
              <w:rPr>
                <w:rFonts w:hint="eastAsia" w:ascii="宋体" w:hAnsi="宋体"/>
                <w:snapToGrid w:val="0"/>
                <w:color w:val="000000" w:themeColor="text1"/>
                <w:kern w:val="0"/>
                <w:sz w:val="18"/>
                <w:szCs w:val="18"/>
              </w:rPr>
              <w:t>，反弹持续时间未超过</w:t>
            </w:r>
            <w:r>
              <w:rPr>
                <w:rFonts w:ascii="宋体" w:hAnsi="宋体"/>
                <w:snapToGrid w:val="0"/>
                <w:color w:val="000000" w:themeColor="text1"/>
                <w:kern w:val="0"/>
                <w:sz w:val="18"/>
                <w:szCs w:val="18"/>
              </w:rPr>
              <w:t>6</w:t>
            </w:r>
            <w:r>
              <w:rPr>
                <w:rFonts w:hint="eastAsia" w:ascii="宋体" w:hAnsi="宋体"/>
                <w:snapToGrid w:val="0"/>
                <w:color w:val="000000" w:themeColor="text1"/>
                <w:kern w:val="0"/>
                <w:sz w:val="18"/>
                <w:szCs w:val="18"/>
              </w:rPr>
              <w:t>个月的均作为持续下跌期间。</w:t>
            </w:r>
          </w:p>
        </w:tc>
      </w:tr>
    </w:tbl>
    <w:p>
      <w:pPr>
        <w:pStyle w:val="15"/>
        <w:numPr>
          <w:ilvl w:val="0"/>
          <w:numId w:val="4"/>
        </w:numPr>
        <w:tabs>
          <w:tab w:val="left" w:pos="1134"/>
        </w:tabs>
        <w:snapToGrid w:val="0"/>
        <w:spacing w:line="460" w:lineRule="atLeast"/>
        <w:ind w:left="0" w:firstLine="420" w:firstLineChars="200"/>
        <w:outlineLvl w:val="1"/>
        <w:rPr>
          <w:rFonts w:hAnsi="宋体"/>
        </w:rPr>
      </w:pPr>
      <w:r>
        <w:rPr>
          <w:rFonts w:hint="eastAsia" w:hAnsi="宋体"/>
        </w:rPr>
        <w:t>应收款项</w:t>
      </w:r>
    </w:p>
    <w:p>
      <w:pPr>
        <w:pStyle w:val="15"/>
        <w:snapToGrid w:val="0"/>
        <w:spacing w:line="460" w:lineRule="atLeast"/>
        <w:ind w:firstLine="420" w:firstLineChars="200"/>
        <w:rPr>
          <w:rFonts w:hAnsi="宋体" w:cs="Arial"/>
          <w:snapToGrid w:val="0"/>
          <w:kern w:val="0"/>
        </w:rPr>
      </w:pPr>
      <w:r>
        <w:rPr>
          <w:rFonts w:hint="eastAsia" w:hAnsi="宋体" w:cs="Arial"/>
          <w:snapToGrid w:val="0"/>
          <w:kern w:val="0"/>
        </w:rPr>
        <w:t>本公司应收款项主要包括应收账款、长期应收款和其他应收款。在资产负债表日有客观证据表明其发生了减值的，本公司根据其账面价值与预计未来现金流量现值之间差额确认减值损失。</w:t>
      </w:r>
    </w:p>
    <w:p>
      <w:pPr>
        <w:widowControl/>
        <w:spacing w:after="156" w:afterLines="50" w:line="460" w:lineRule="atLeast"/>
        <w:ind w:firstLine="315" w:firstLineChars="150"/>
        <w:jc w:val="left"/>
        <w:rPr>
          <w:rFonts w:ascii="宋体" w:hAnsi="宋体" w:cs="宋体"/>
          <w:bCs/>
          <w:snapToGrid w:val="0"/>
          <w:kern w:val="0"/>
        </w:rPr>
      </w:pPr>
      <w:r>
        <w:rPr>
          <w:rFonts w:hint="eastAsia" w:ascii="宋体" w:hAnsi="宋体" w:cs="宋体"/>
          <w:bCs/>
          <w:snapToGrid w:val="0"/>
          <w:kern w:val="0"/>
        </w:rPr>
        <w:t>1、单项金额重大并单项计提坏账准备的应收款项</w:t>
      </w:r>
    </w:p>
    <w:tbl>
      <w:tblPr>
        <w:tblStyle w:val="31"/>
        <w:tblW w:w="8720" w:type="dxa"/>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4360"/>
        <w:gridCol w:w="4360"/>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4360" w:type="dxa"/>
            <w:tcBorders>
              <w:top w:val="single" w:color="auto" w:sz="12" w:space="0"/>
            </w:tcBorders>
            <w:vAlign w:val="center"/>
          </w:tcPr>
          <w:p>
            <w:pPr>
              <w:pStyle w:val="59"/>
              <w:adjustRightInd w:val="0"/>
              <w:snapToGrid w:val="0"/>
              <w:spacing w:after="0"/>
              <w:ind w:left="0" w:leftChars="0"/>
              <w:rPr>
                <w:rFonts w:ascii="宋体" w:hAnsi="宋体" w:cs="宋体"/>
                <w:bCs/>
                <w:snapToGrid w:val="0"/>
                <w:kern w:val="0"/>
                <w:sz w:val="18"/>
                <w:szCs w:val="18"/>
              </w:rPr>
            </w:pPr>
            <w:r>
              <w:rPr>
                <w:rFonts w:hint="eastAsia" w:ascii="宋体" w:hAnsi="宋体" w:cs="仿宋_GB2312"/>
                <w:snapToGrid w:val="0"/>
                <w:kern w:val="0"/>
                <w:sz w:val="18"/>
                <w:szCs w:val="18"/>
              </w:rPr>
              <w:t>单项金额重大的判断依据或金额标准</w:t>
            </w:r>
          </w:p>
        </w:tc>
        <w:tc>
          <w:tcPr>
            <w:tcW w:w="4360" w:type="dxa"/>
            <w:tcBorders>
              <w:top w:val="single" w:color="auto" w:sz="12" w:space="0"/>
            </w:tcBorders>
            <w:vAlign w:val="center"/>
          </w:tcPr>
          <w:p>
            <w:pPr>
              <w:pStyle w:val="59"/>
              <w:adjustRightInd w:val="0"/>
              <w:snapToGrid w:val="0"/>
              <w:spacing w:after="0"/>
              <w:ind w:left="0" w:leftChars="0"/>
              <w:rPr>
                <w:rFonts w:ascii="宋体" w:hAnsi="宋体" w:cs="宋体"/>
                <w:bCs/>
                <w:snapToGrid w:val="0"/>
                <w:color w:val="000000" w:themeColor="text1"/>
                <w:kern w:val="0"/>
                <w:sz w:val="18"/>
                <w:szCs w:val="18"/>
              </w:rPr>
            </w:pPr>
            <w:r>
              <w:rPr>
                <w:rFonts w:hint="eastAsia" w:ascii="宋体" w:hAnsi="宋体" w:cs="仿宋_GB2312"/>
                <w:snapToGrid w:val="0"/>
                <w:color w:val="000000" w:themeColor="text1"/>
                <w:kern w:val="0"/>
                <w:sz w:val="18"/>
                <w:szCs w:val="18"/>
              </w:rPr>
              <w:t>应收款项账面余额在</w:t>
            </w:r>
            <w:r>
              <w:rPr>
                <w:rFonts w:ascii="宋体" w:hAnsi="宋体" w:cs="仿宋_GB2312"/>
                <w:snapToGrid w:val="0"/>
                <w:color w:val="000000" w:themeColor="text1"/>
                <w:kern w:val="0"/>
                <w:sz w:val="18"/>
                <w:szCs w:val="18"/>
              </w:rPr>
              <w:t>100.00</w:t>
            </w:r>
            <w:r>
              <w:rPr>
                <w:rFonts w:hint="eastAsia" w:ascii="宋体" w:hAnsi="宋体" w:cs="仿宋_GB2312"/>
                <w:snapToGrid w:val="0"/>
                <w:color w:val="000000" w:themeColor="text1"/>
                <w:kern w:val="0"/>
                <w:sz w:val="18"/>
                <w:szCs w:val="18"/>
              </w:rPr>
              <w:t>万以上的款项</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4360" w:type="dxa"/>
            <w:tcBorders>
              <w:bottom w:val="single" w:color="auto" w:sz="12" w:space="0"/>
            </w:tcBorders>
            <w:vAlign w:val="center"/>
          </w:tcPr>
          <w:p>
            <w:pPr>
              <w:pStyle w:val="59"/>
              <w:adjustRightInd w:val="0"/>
              <w:snapToGrid w:val="0"/>
              <w:spacing w:after="0"/>
              <w:ind w:left="0" w:leftChars="0"/>
              <w:rPr>
                <w:rFonts w:ascii="宋体" w:hAnsi="宋体" w:cs="宋体"/>
                <w:bCs/>
                <w:snapToGrid w:val="0"/>
                <w:kern w:val="0"/>
                <w:sz w:val="18"/>
                <w:szCs w:val="18"/>
              </w:rPr>
            </w:pPr>
            <w:r>
              <w:rPr>
                <w:rFonts w:hint="eastAsia" w:ascii="宋体" w:hAnsi="宋体" w:cs="仿宋_GB2312"/>
                <w:snapToGrid w:val="0"/>
                <w:kern w:val="0"/>
                <w:sz w:val="18"/>
                <w:szCs w:val="18"/>
              </w:rPr>
              <w:t>单项金额重大并单项计提坏账准备的计提方法</w:t>
            </w:r>
          </w:p>
        </w:tc>
        <w:tc>
          <w:tcPr>
            <w:tcW w:w="4360" w:type="dxa"/>
            <w:tcBorders>
              <w:bottom w:val="single" w:color="auto" w:sz="12" w:space="0"/>
            </w:tcBorders>
            <w:vAlign w:val="center"/>
          </w:tcPr>
          <w:p>
            <w:pPr>
              <w:pStyle w:val="59"/>
              <w:adjustRightInd w:val="0"/>
              <w:snapToGrid w:val="0"/>
              <w:spacing w:after="0"/>
              <w:ind w:left="0" w:leftChars="0"/>
              <w:rPr>
                <w:rFonts w:ascii="宋体" w:hAnsi="宋体" w:cs="宋体"/>
                <w:bCs/>
                <w:snapToGrid w:val="0"/>
                <w:color w:val="000000" w:themeColor="text1"/>
                <w:kern w:val="0"/>
                <w:sz w:val="18"/>
                <w:szCs w:val="18"/>
              </w:rPr>
            </w:pPr>
            <w:r>
              <w:rPr>
                <w:rFonts w:hint="eastAsia" w:ascii="宋体" w:hAnsi="宋体" w:cs="仿宋_GB2312"/>
                <w:snapToGrid w:val="0"/>
                <w:color w:val="000000" w:themeColor="text1"/>
                <w:kern w:val="0"/>
                <w:sz w:val="18"/>
                <w:szCs w:val="18"/>
              </w:rPr>
              <w:t>根据其账面价值与预计未来现金流量现值之间差额确认, 如未发生减值，则并入类似信用风险特征的金融资产组合中进行减值测试</w:t>
            </w:r>
          </w:p>
        </w:tc>
      </w:tr>
    </w:tbl>
    <w:p>
      <w:pPr>
        <w:widowControl/>
        <w:adjustRightInd w:val="0"/>
        <w:snapToGrid w:val="0"/>
        <w:spacing w:before="156" w:beforeLines="50" w:after="156" w:afterLines="50" w:line="460" w:lineRule="atLeast"/>
        <w:ind w:firstLine="210" w:firstLineChars="100"/>
        <w:jc w:val="left"/>
        <w:rPr>
          <w:rFonts w:ascii="宋体" w:hAnsi="宋体" w:cs="宋体"/>
          <w:bCs/>
          <w:snapToGrid w:val="0"/>
          <w:kern w:val="0"/>
        </w:rPr>
      </w:pPr>
      <w:r>
        <w:rPr>
          <w:rFonts w:hint="eastAsia" w:ascii="宋体" w:hAnsi="宋体" w:cs="宋体"/>
          <w:bCs/>
          <w:snapToGrid w:val="0"/>
          <w:kern w:val="0"/>
        </w:rPr>
        <w:t>2、按组合计提坏账准备的应收款项</w:t>
      </w:r>
    </w:p>
    <w:tbl>
      <w:tblPr>
        <w:tblStyle w:val="31"/>
        <w:tblW w:w="8936" w:type="dxa"/>
        <w:jc w:val="center"/>
        <w:tblInd w:w="0" w:type="dxa"/>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
      <w:tblGrid>
        <w:gridCol w:w="4359"/>
        <w:gridCol w:w="4577"/>
      </w:tblGrid>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340" w:hRule="atLeast"/>
          <w:tblHeader/>
          <w:jc w:val="center"/>
        </w:trPr>
        <w:tc>
          <w:tcPr>
            <w:tcW w:w="4359" w:type="dxa"/>
            <w:tcBorders>
              <w:top w:val="single" w:color="auto" w:sz="12" w:space="0"/>
            </w:tcBorders>
            <w:shd w:val="clear" w:color="auto" w:fill="auto"/>
            <w:vAlign w:val="center"/>
          </w:tcPr>
          <w:p>
            <w:pPr>
              <w:pStyle w:val="59"/>
              <w:adjustRightInd w:val="0"/>
              <w:snapToGrid w:val="0"/>
              <w:spacing w:after="0"/>
              <w:ind w:left="0" w:leftChars="0"/>
              <w:rPr>
                <w:rFonts w:ascii="宋体" w:hAnsi="宋体" w:cs="Arial"/>
                <w:snapToGrid w:val="0"/>
                <w:kern w:val="0"/>
                <w:sz w:val="18"/>
                <w:szCs w:val="18"/>
              </w:rPr>
            </w:pPr>
            <w:r>
              <w:rPr>
                <w:rFonts w:hint="eastAsia" w:ascii="宋体" w:hAnsi="宋体" w:cs="Arial"/>
                <w:snapToGrid w:val="0"/>
                <w:kern w:val="0"/>
                <w:sz w:val="18"/>
                <w:szCs w:val="18"/>
              </w:rPr>
              <w:t>确定组合的依据</w:t>
            </w:r>
          </w:p>
        </w:tc>
        <w:tc>
          <w:tcPr>
            <w:tcW w:w="4577" w:type="dxa"/>
            <w:tcBorders>
              <w:top w:val="single" w:color="auto" w:sz="12" w:space="0"/>
            </w:tcBorders>
            <w:shd w:val="clear" w:color="auto" w:fill="auto"/>
            <w:vAlign w:val="center"/>
          </w:tcPr>
          <w:p>
            <w:pPr>
              <w:pStyle w:val="55"/>
              <w:snapToGrid w:val="0"/>
              <w:jc w:val="both"/>
              <w:rPr>
                <w:rFonts w:ascii="宋体" w:hAnsi="宋体" w:eastAsia="宋体" w:cs="宋体"/>
                <w:snapToGrid w:val="0"/>
                <w:color w:val="3333FF"/>
                <w:sz w:val="18"/>
                <w:szCs w:val="18"/>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340" w:hRule="atLeast"/>
          <w:jc w:val="center"/>
        </w:trPr>
        <w:tc>
          <w:tcPr>
            <w:tcW w:w="4359" w:type="dxa"/>
            <w:shd w:val="clear" w:color="auto" w:fill="auto"/>
            <w:vAlign w:val="center"/>
          </w:tcPr>
          <w:p>
            <w:pPr>
              <w:pStyle w:val="59"/>
              <w:adjustRightInd w:val="0"/>
              <w:snapToGrid w:val="0"/>
              <w:spacing w:after="0"/>
              <w:ind w:left="0" w:leftChars="0" w:firstLine="360"/>
              <w:rPr>
                <w:rFonts w:ascii="宋体" w:hAnsi="宋体" w:cs="Arial"/>
                <w:snapToGrid w:val="0"/>
                <w:kern w:val="0"/>
                <w:sz w:val="18"/>
                <w:szCs w:val="18"/>
              </w:rPr>
            </w:pPr>
            <w:r>
              <w:rPr>
                <w:rFonts w:hint="eastAsia" w:cs="Arial" w:asciiTheme="minorEastAsia" w:hAnsiTheme="minorEastAsia" w:eastAsiaTheme="minorEastAsia"/>
                <w:snapToGrid w:val="0"/>
                <w:kern w:val="0"/>
                <w:sz w:val="18"/>
                <w:szCs w:val="18"/>
              </w:rPr>
              <w:t>受同一母公司控制且纳入合并范围内关联方往来</w:t>
            </w:r>
          </w:p>
        </w:tc>
        <w:tc>
          <w:tcPr>
            <w:tcW w:w="4577" w:type="dxa"/>
            <w:shd w:val="clear" w:color="auto" w:fill="auto"/>
            <w:vAlign w:val="center"/>
          </w:tcPr>
          <w:p>
            <w:pPr>
              <w:pStyle w:val="55"/>
              <w:snapToGrid w:val="0"/>
              <w:jc w:val="both"/>
              <w:rPr>
                <w:rFonts w:ascii="宋体" w:hAnsi="宋体" w:eastAsia="宋体" w:cs="宋体"/>
                <w:snapToGrid w:val="0"/>
                <w:color w:val="3333FF"/>
                <w:sz w:val="18"/>
                <w:szCs w:val="18"/>
              </w:rPr>
            </w:pPr>
            <w:r>
              <w:rPr>
                <w:rFonts w:hint="eastAsia" w:ascii="宋体" w:hAnsi="宋体" w:eastAsia="宋体" w:cs="宋体"/>
                <w:snapToGrid w:val="0"/>
                <w:color w:val="auto"/>
                <w:sz w:val="18"/>
                <w:szCs w:val="18"/>
              </w:rPr>
              <w:t>为关联方欠款</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340" w:hRule="atLeast"/>
          <w:jc w:val="center"/>
        </w:trPr>
        <w:tc>
          <w:tcPr>
            <w:tcW w:w="4359" w:type="dxa"/>
            <w:shd w:val="clear" w:color="auto" w:fill="auto"/>
            <w:vAlign w:val="center"/>
          </w:tcPr>
          <w:p>
            <w:pPr>
              <w:pStyle w:val="59"/>
              <w:adjustRightInd w:val="0"/>
              <w:snapToGrid w:val="0"/>
              <w:spacing w:after="0"/>
              <w:ind w:left="0" w:leftChars="0" w:firstLine="360"/>
              <w:rPr>
                <w:rFonts w:ascii="宋体" w:hAnsi="宋体" w:cs="Arial"/>
                <w:snapToGrid w:val="0"/>
                <w:kern w:val="0"/>
                <w:sz w:val="18"/>
                <w:szCs w:val="18"/>
              </w:rPr>
            </w:pPr>
            <w:r>
              <w:rPr>
                <w:rFonts w:hint="eastAsia" w:cs="Arial" w:asciiTheme="minorEastAsia" w:hAnsiTheme="minorEastAsia" w:eastAsiaTheme="minorEastAsia"/>
                <w:snapToGrid w:val="0"/>
                <w:kern w:val="0"/>
                <w:sz w:val="18"/>
                <w:szCs w:val="18"/>
              </w:rPr>
              <w:t>账龄组合</w:t>
            </w:r>
          </w:p>
        </w:tc>
        <w:tc>
          <w:tcPr>
            <w:tcW w:w="4577" w:type="dxa"/>
            <w:shd w:val="clear" w:color="auto" w:fill="auto"/>
            <w:vAlign w:val="center"/>
          </w:tcPr>
          <w:p>
            <w:pPr>
              <w:pStyle w:val="55"/>
              <w:snapToGrid w:val="0"/>
              <w:rPr>
                <w:rFonts w:ascii="宋体" w:hAnsi="宋体" w:eastAsia="宋体" w:cs="宋体"/>
                <w:snapToGrid w:val="0"/>
                <w:color w:val="3333FF"/>
                <w:sz w:val="18"/>
                <w:szCs w:val="18"/>
              </w:rPr>
            </w:pPr>
            <w:r>
              <w:rPr>
                <w:rFonts w:hint="eastAsia" w:ascii="宋体" w:hAnsi="宋体" w:eastAsia="宋体" w:cs="宋体"/>
                <w:snapToGrid w:val="0"/>
                <w:color w:val="auto"/>
                <w:sz w:val="18"/>
                <w:szCs w:val="18"/>
              </w:rPr>
              <w:t>以应收款项的账龄为信用风险特征</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340" w:hRule="atLeast"/>
          <w:jc w:val="center"/>
        </w:trPr>
        <w:tc>
          <w:tcPr>
            <w:tcW w:w="4359" w:type="dxa"/>
            <w:shd w:val="clear" w:color="auto" w:fill="auto"/>
            <w:vAlign w:val="center"/>
          </w:tcPr>
          <w:p>
            <w:pPr>
              <w:pStyle w:val="59"/>
              <w:adjustRightInd w:val="0"/>
              <w:snapToGrid w:val="0"/>
              <w:spacing w:after="0"/>
              <w:ind w:left="0" w:leftChars="0"/>
              <w:rPr>
                <w:rFonts w:ascii="宋体" w:hAnsi="宋体" w:cs="Arial"/>
                <w:snapToGrid w:val="0"/>
                <w:kern w:val="0"/>
                <w:sz w:val="18"/>
                <w:szCs w:val="18"/>
              </w:rPr>
            </w:pPr>
            <w:r>
              <w:rPr>
                <w:rFonts w:hint="eastAsia" w:ascii="宋体" w:hAnsi="宋体" w:cs="Arial"/>
                <w:snapToGrid w:val="0"/>
                <w:kern w:val="0"/>
                <w:sz w:val="18"/>
                <w:szCs w:val="18"/>
              </w:rPr>
              <w:t>按组合计提坏账准备的计提方法</w:t>
            </w:r>
          </w:p>
        </w:tc>
        <w:tc>
          <w:tcPr>
            <w:tcW w:w="4577" w:type="dxa"/>
            <w:shd w:val="clear" w:color="auto" w:fill="auto"/>
            <w:vAlign w:val="center"/>
          </w:tcPr>
          <w:p>
            <w:pPr>
              <w:pStyle w:val="59"/>
              <w:adjustRightInd w:val="0"/>
              <w:snapToGrid w:val="0"/>
              <w:spacing w:after="0"/>
              <w:ind w:left="0" w:leftChars="0"/>
              <w:rPr>
                <w:rFonts w:ascii="宋体" w:hAnsi="宋体" w:cs="Arial"/>
                <w:snapToGrid w:val="0"/>
                <w:color w:val="3333FF"/>
                <w:kern w:val="0"/>
                <w:sz w:val="18"/>
                <w:szCs w:val="18"/>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340" w:hRule="atLeast"/>
          <w:jc w:val="center"/>
        </w:trPr>
        <w:tc>
          <w:tcPr>
            <w:tcW w:w="4359" w:type="dxa"/>
            <w:shd w:val="clear" w:color="auto" w:fill="auto"/>
            <w:vAlign w:val="center"/>
          </w:tcPr>
          <w:p>
            <w:pPr>
              <w:pStyle w:val="59"/>
              <w:adjustRightInd w:val="0"/>
              <w:snapToGrid w:val="0"/>
              <w:spacing w:after="0"/>
              <w:ind w:left="0" w:leftChars="0" w:firstLine="270" w:firstLineChars="150"/>
              <w:rPr>
                <w:rFonts w:ascii="宋体" w:hAnsi="宋体" w:cs="Arial"/>
                <w:snapToGrid w:val="0"/>
                <w:kern w:val="0"/>
                <w:sz w:val="18"/>
                <w:szCs w:val="18"/>
              </w:rPr>
            </w:pPr>
            <w:r>
              <w:rPr>
                <w:rFonts w:hint="eastAsia" w:cs="Arial" w:asciiTheme="minorEastAsia" w:hAnsiTheme="minorEastAsia" w:eastAsiaTheme="minorEastAsia"/>
                <w:snapToGrid w:val="0"/>
                <w:kern w:val="0"/>
                <w:sz w:val="18"/>
                <w:szCs w:val="18"/>
              </w:rPr>
              <w:t>受同一母公司控制且纳入合并范围内关联方往来</w:t>
            </w:r>
          </w:p>
        </w:tc>
        <w:tc>
          <w:tcPr>
            <w:tcW w:w="4577" w:type="dxa"/>
            <w:shd w:val="clear" w:color="auto" w:fill="auto"/>
          </w:tcPr>
          <w:p>
            <w:pPr>
              <w:rPr>
                <w:rFonts w:ascii="宋体" w:hAnsi="宋体" w:cs="宋体"/>
                <w:snapToGrid w:val="0"/>
                <w:kern w:val="0"/>
                <w:sz w:val="18"/>
                <w:szCs w:val="18"/>
              </w:rPr>
            </w:pPr>
            <w:r>
              <w:rPr>
                <w:rFonts w:hint="eastAsia" w:ascii="宋体" w:hAnsi="宋体" w:cs="宋体"/>
                <w:snapToGrid w:val="0"/>
                <w:kern w:val="0"/>
                <w:sz w:val="18"/>
                <w:szCs w:val="18"/>
              </w:rPr>
              <w:t>经过单项减值测试，未发生减值则不计提坏账</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340" w:hRule="atLeast"/>
          <w:jc w:val="center"/>
        </w:trPr>
        <w:tc>
          <w:tcPr>
            <w:tcW w:w="4359" w:type="dxa"/>
            <w:shd w:val="clear" w:color="auto" w:fill="auto"/>
            <w:vAlign w:val="center"/>
          </w:tcPr>
          <w:p>
            <w:pPr>
              <w:pStyle w:val="59"/>
              <w:adjustRightInd w:val="0"/>
              <w:snapToGrid w:val="0"/>
              <w:spacing w:after="0"/>
              <w:ind w:left="0" w:leftChars="0" w:firstLine="270" w:firstLineChars="150"/>
              <w:rPr>
                <w:rFonts w:ascii="宋体" w:hAnsi="宋体" w:cs="Arial"/>
                <w:snapToGrid w:val="0"/>
                <w:kern w:val="0"/>
                <w:sz w:val="18"/>
                <w:szCs w:val="18"/>
              </w:rPr>
            </w:pPr>
            <w:r>
              <w:rPr>
                <w:rFonts w:hint="eastAsia" w:cs="Arial" w:asciiTheme="minorEastAsia" w:hAnsiTheme="minorEastAsia" w:eastAsiaTheme="minorEastAsia"/>
                <w:snapToGrid w:val="0"/>
                <w:kern w:val="0"/>
                <w:sz w:val="18"/>
                <w:szCs w:val="18"/>
              </w:rPr>
              <w:t>账龄组合</w:t>
            </w:r>
          </w:p>
        </w:tc>
        <w:tc>
          <w:tcPr>
            <w:tcW w:w="4577" w:type="dxa"/>
            <w:shd w:val="clear" w:color="auto" w:fill="auto"/>
          </w:tcPr>
          <w:p>
            <w:pPr>
              <w:rPr>
                <w:rFonts w:ascii="宋体" w:hAnsi="宋体" w:cs="宋体"/>
                <w:snapToGrid w:val="0"/>
                <w:kern w:val="0"/>
                <w:sz w:val="18"/>
                <w:szCs w:val="18"/>
              </w:rPr>
            </w:pPr>
            <w:r>
              <w:rPr>
                <w:rFonts w:hint="eastAsia" w:ascii="宋体" w:hAnsi="宋体" w:cs="宋体"/>
                <w:snapToGrid w:val="0"/>
                <w:kern w:val="0"/>
                <w:sz w:val="18"/>
                <w:szCs w:val="18"/>
              </w:rPr>
              <w:t>账龄分析法</w:t>
            </w:r>
          </w:p>
        </w:tc>
      </w:tr>
    </w:tbl>
    <w:p>
      <w:pPr>
        <w:pStyle w:val="15"/>
        <w:snapToGrid w:val="0"/>
        <w:spacing w:before="156" w:beforeLines="50" w:after="156" w:afterLines="50" w:line="460" w:lineRule="atLeast"/>
        <w:ind w:firstLine="315" w:firstLineChars="150"/>
        <w:rPr>
          <w:rFonts w:hAnsi="宋体" w:cs="Arial"/>
          <w:snapToGrid w:val="0"/>
          <w:kern w:val="0"/>
        </w:rPr>
      </w:pPr>
      <w:r>
        <w:rPr>
          <w:rFonts w:hint="eastAsia" w:hAnsi="宋体" w:cs="Arial"/>
          <w:snapToGrid w:val="0"/>
          <w:kern w:val="0"/>
        </w:rPr>
        <w:t>组合中，采用账龄分析法计提坏账准备情况：</w:t>
      </w:r>
    </w:p>
    <w:tbl>
      <w:tblPr>
        <w:tblStyle w:val="31"/>
        <w:tblW w:w="8720" w:type="dxa"/>
        <w:jc w:val="center"/>
        <w:tblInd w:w="0" w:type="dxa"/>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
      <w:tblGrid>
        <w:gridCol w:w="2906"/>
        <w:gridCol w:w="2907"/>
        <w:gridCol w:w="2907"/>
      </w:tblGrid>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340" w:hRule="atLeast"/>
          <w:tblHeader/>
          <w:jc w:val="center"/>
        </w:trPr>
        <w:tc>
          <w:tcPr>
            <w:tcW w:w="2906" w:type="dxa"/>
            <w:tcBorders>
              <w:top w:val="single" w:color="auto" w:sz="12" w:space="0"/>
            </w:tcBorders>
            <w:vAlign w:val="center"/>
          </w:tcPr>
          <w:p>
            <w:pPr>
              <w:pStyle w:val="59"/>
              <w:adjustRightInd w:val="0"/>
              <w:snapToGrid w:val="0"/>
              <w:spacing w:after="0"/>
              <w:ind w:left="0" w:leftChars="0"/>
              <w:jc w:val="center"/>
              <w:rPr>
                <w:rFonts w:ascii="宋体" w:hAnsi="宋体" w:cs="Arial Narrow"/>
                <w:snapToGrid w:val="0"/>
                <w:kern w:val="0"/>
                <w:sz w:val="18"/>
                <w:szCs w:val="18"/>
              </w:rPr>
            </w:pPr>
            <w:r>
              <w:rPr>
                <w:rFonts w:hint="eastAsia" w:ascii="宋体" w:hAnsi="宋体" w:cs="宋体"/>
                <w:snapToGrid w:val="0"/>
                <w:kern w:val="0"/>
                <w:sz w:val="18"/>
                <w:szCs w:val="18"/>
              </w:rPr>
              <w:t>账</w:t>
            </w:r>
            <w:r>
              <w:rPr>
                <w:rFonts w:ascii="宋体" w:hAnsi="宋体" w:cs="宋体"/>
                <w:snapToGrid w:val="0"/>
                <w:kern w:val="0"/>
                <w:sz w:val="18"/>
                <w:szCs w:val="18"/>
              </w:rPr>
              <w:t xml:space="preserve">   </w:t>
            </w:r>
            <w:r>
              <w:rPr>
                <w:rFonts w:hint="eastAsia" w:ascii="宋体" w:hAnsi="宋体" w:cs="宋体"/>
                <w:snapToGrid w:val="0"/>
                <w:kern w:val="0"/>
                <w:sz w:val="18"/>
                <w:szCs w:val="18"/>
              </w:rPr>
              <w:t>龄</w:t>
            </w:r>
          </w:p>
        </w:tc>
        <w:tc>
          <w:tcPr>
            <w:tcW w:w="2907" w:type="dxa"/>
            <w:tcBorders>
              <w:top w:val="single" w:color="auto" w:sz="12" w:space="0"/>
            </w:tcBorders>
            <w:vAlign w:val="center"/>
          </w:tcPr>
          <w:p>
            <w:pPr>
              <w:pStyle w:val="59"/>
              <w:adjustRightInd w:val="0"/>
              <w:snapToGrid w:val="0"/>
              <w:spacing w:after="0"/>
              <w:ind w:left="0" w:leftChars="0"/>
              <w:jc w:val="center"/>
              <w:rPr>
                <w:rFonts w:ascii="宋体" w:hAnsi="宋体" w:cs="Arial Narrow"/>
                <w:snapToGrid w:val="0"/>
                <w:kern w:val="0"/>
                <w:sz w:val="18"/>
                <w:szCs w:val="18"/>
              </w:rPr>
            </w:pPr>
            <w:r>
              <w:rPr>
                <w:rFonts w:hint="eastAsia" w:ascii="宋体" w:hAnsi="宋体" w:cs="宋体"/>
                <w:snapToGrid w:val="0"/>
                <w:kern w:val="0"/>
                <w:sz w:val="18"/>
                <w:szCs w:val="18"/>
              </w:rPr>
              <w:t>应收账款计提比例（</w:t>
            </w:r>
            <w:r>
              <w:rPr>
                <w:rFonts w:ascii="宋体" w:hAnsi="宋体" w:cs="Arial Narrow"/>
                <w:snapToGrid w:val="0"/>
                <w:kern w:val="0"/>
                <w:sz w:val="18"/>
                <w:szCs w:val="18"/>
              </w:rPr>
              <w:t>%</w:t>
            </w:r>
            <w:r>
              <w:rPr>
                <w:rFonts w:hint="eastAsia" w:ascii="宋体" w:hAnsi="宋体" w:cs="宋体"/>
                <w:snapToGrid w:val="0"/>
                <w:kern w:val="0"/>
                <w:sz w:val="18"/>
                <w:szCs w:val="18"/>
              </w:rPr>
              <w:t>）</w:t>
            </w:r>
          </w:p>
        </w:tc>
        <w:tc>
          <w:tcPr>
            <w:tcW w:w="2907" w:type="dxa"/>
            <w:tcBorders>
              <w:top w:val="single" w:color="auto" w:sz="12" w:space="0"/>
            </w:tcBorders>
            <w:vAlign w:val="center"/>
          </w:tcPr>
          <w:p>
            <w:pPr>
              <w:pStyle w:val="59"/>
              <w:adjustRightInd w:val="0"/>
              <w:snapToGrid w:val="0"/>
              <w:spacing w:after="0"/>
              <w:ind w:left="0" w:leftChars="0"/>
              <w:jc w:val="center"/>
              <w:rPr>
                <w:rFonts w:ascii="宋体" w:hAnsi="宋体" w:cs="Arial Narrow"/>
                <w:snapToGrid w:val="0"/>
                <w:kern w:val="0"/>
                <w:sz w:val="18"/>
                <w:szCs w:val="18"/>
              </w:rPr>
            </w:pPr>
            <w:r>
              <w:rPr>
                <w:rFonts w:hint="eastAsia" w:ascii="宋体" w:hAnsi="宋体" w:cs="宋体"/>
                <w:snapToGrid w:val="0"/>
                <w:kern w:val="0"/>
                <w:sz w:val="18"/>
                <w:szCs w:val="18"/>
              </w:rPr>
              <w:t>其他应收款计提比例（</w:t>
            </w:r>
            <w:r>
              <w:rPr>
                <w:rFonts w:ascii="宋体" w:hAnsi="宋体" w:cs="Arial Narrow"/>
                <w:snapToGrid w:val="0"/>
                <w:kern w:val="0"/>
                <w:sz w:val="18"/>
                <w:szCs w:val="18"/>
              </w:rPr>
              <w:t>%</w:t>
            </w:r>
            <w:r>
              <w:rPr>
                <w:rFonts w:hint="eastAsia" w:ascii="宋体" w:hAnsi="宋体" w:cs="宋体"/>
                <w:snapToGrid w:val="0"/>
                <w:kern w:val="0"/>
                <w:sz w:val="18"/>
                <w:szCs w:val="18"/>
              </w:rPr>
              <w:t>）</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cantSplit/>
          <w:trHeight w:val="340" w:hRule="atLeast"/>
          <w:jc w:val="center"/>
        </w:trPr>
        <w:tc>
          <w:tcPr>
            <w:tcW w:w="2906" w:type="dxa"/>
            <w:vAlign w:val="center"/>
          </w:tcPr>
          <w:p>
            <w:pPr>
              <w:pStyle w:val="59"/>
              <w:adjustRightInd w:val="0"/>
              <w:snapToGrid w:val="0"/>
              <w:spacing w:after="0"/>
              <w:ind w:left="0" w:leftChars="0"/>
              <w:rPr>
                <w:rFonts w:ascii="宋体" w:hAnsi="宋体" w:cs="Arial Narrow"/>
                <w:snapToGrid w:val="0"/>
                <w:kern w:val="0"/>
                <w:sz w:val="18"/>
                <w:szCs w:val="18"/>
              </w:rPr>
            </w:pPr>
            <w:r>
              <w:rPr>
                <w:rFonts w:ascii="宋体" w:hAnsi="宋体" w:cs="Arial Narrow"/>
                <w:snapToGrid w:val="0"/>
                <w:kern w:val="0"/>
                <w:sz w:val="18"/>
                <w:szCs w:val="18"/>
              </w:rPr>
              <w:t>1</w:t>
            </w:r>
            <w:r>
              <w:rPr>
                <w:rFonts w:hint="eastAsia" w:ascii="宋体" w:hAnsi="宋体" w:cs="宋体"/>
                <w:snapToGrid w:val="0"/>
                <w:kern w:val="0"/>
                <w:sz w:val="18"/>
                <w:szCs w:val="18"/>
              </w:rPr>
              <w:t>年以内（含</w:t>
            </w:r>
            <w:r>
              <w:rPr>
                <w:rFonts w:ascii="宋体" w:hAnsi="宋体" w:cs="Arial Narrow"/>
                <w:snapToGrid w:val="0"/>
                <w:kern w:val="0"/>
                <w:sz w:val="18"/>
                <w:szCs w:val="18"/>
              </w:rPr>
              <w:t>1</w:t>
            </w:r>
            <w:r>
              <w:rPr>
                <w:rFonts w:hint="eastAsia" w:ascii="宋体" w:hAnsi="宋体" w:cs="宋体"/>
                <w:snapToGrid w:val="0"/>
                <w:kern w:val="0"/>
                <w:sz w:val="18"/>
                <w:szCs w:val="18"/>
              </w:rPr>
              <w:t>年）</w:t>
            </w:r>
          </w:p>
        </w:tc>
        <w:tc>
          <w:tcPr>
            <w:tcW w:w="2907" w:type="dxa"/>
            <w:vAlign w:val="center"/>
          </w:tcPr>
          <w:p>
            <w:pPr>
              <w:pStyle w:val="59"/>
              <w:spacing w:after="0" w:line="360" w:lineRule="atLeast"/>
              <w:ind w:firstLine="900" w:firstLineChars="500"/>
              <w:rPr>
                <w:rFonts w:cs="Arial Narrow" w:asciiTheme="majorEastAsia" w:hAnsiTheme="majorEastAsia" w:eastAsiaTheme="majorEastAsia"/>
                <w:sz w:val="18"/>
                <w:szCs w:val="18"/>
              </w:rPr>
            </w:pPr>
            <w:r>
              <w:rPr>
                <w:rFonts w:cs="Arial Narrow" w:asciiTheme="majorEastAsia" w:hAnsiTheme="majorEastAsia" w:eastAsiaTheme="majorEastAsia"/>
                <w:sz w:val="18"/>
                <w:szCs w:val="18"/>
              </w:rPr>
              <w:t>0.5</w:t>
            </w:r>
          </w:p>
        </w:tc>
        <w:tc>
          <w:tcPr>
            <w:tcW w:w="2907" w:type="dxa"/>
            <w:vAlign w:val="center"/>
          </w:tcPr>
          <w:p>
            <w:pPr>
              <w:pStyle w:val="59"/>
              <w:spacing w:after="0" w:line="360" w:lineRule="atLeast"/>
              <w:ind w:firstLine="900" w:firstLineChars="500"/>
              <w:rPr>
                <w:rFonts w:cs="Arial Narrow" w:asciiTheme="majorEastAsia" w:hAnsiTheme="majorEastAsia" w:eastAsiaTheme="majorEastAsia"/>
                <w:sz w:val="18"/>
                <w:szCs w:val="18"/>
              </w:rPr>
            </w:pPr>
            <w:r>
              <w:rPr>
                <w:rFonts w:hint="eastAsia" w:cs="Arial Narrow" w:asciiTheme="majorEastAsia" w:hAnsiTheme="majorEastAsia" w:eastAsiaTheme="majorEastAsia"/>
                <w:sz w:val="18"/>
                <w:szCs w:val="18"/>
              </w:rPr>
              <w:t>0</w:t>
            </w:r>
            <w:r>
              <w:rPr>
                <w:rFonts w:cs="Arial Narrow" w:asciiTheme="majorEastAsia" w:hAnsiTheme="majorEastAsia" w:eastAsiaTheme="majorEastAsia"/>
                <w:sz w:val="18"/>
                <w:szCs w:val="18"/>
              </w:rPr>
              <w:t>.5</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cantSplit/>
          <w:trHeight w:val="340" w:hRule="atLeast"/>
          <w:jc w:val="center"/>
        </w:trPr>
        <w:tc>
          <w:tcPr>
            <w:tcW w:w="2906" w:type="dxa"/>
            <w:vAlign w:val="center"/>
          </w:tcPr>
          <w:p>
            <w:pPr>
              <w:pStyle w:val="59"/>
              <w:adjustRightInd w:val="0"/>
              <w:snapToGrid w:val="0"/>
              <w:spacing w:after="0"/>
              <w:ind w:left="0" w:leftChars="0"/>
              <w:rPr>
                <w:rFonts w:ascii="宋体" w:hAnsi="宋体" w:cs="Arial Narrow"/>
                <w:snapToGrid w:val="0"/>
                <w:kern w:val="0"/>
                <w:sz w:val="18"/>
                <w:szCs w:val="18"/>
              </w:rPr>
            </w:pPr>
            <w:r>
              <w:rPr>
                <w:rFonts w:hint="eastAsia" w:ascii="宋体" w:hAnsi="宋体" w:cs="Arial Narrow"/>
                <w:snapToGrid w:val="0"/>
                <w:kern w:val="0"/>
                <w:sz w:val="18"/>
                <w:szCs w:val="18"/>
              </w:rPr>
              <w:t>1年以上</w:t>
            </w:r>
          </w:p>
        </w:tc>
        <w:tc>
          <w:tcPr>
            <w:tcW w:w="2907" w:type="dxa"/>
            <w:vAlign w:val="center"/>
          </w:tcPr>
          <w:p>
            <w:pPr>
              <w:adjustRightInd w:val="0"/>
              <w:snapToGrid w:val="0"/>
              <w:spacing w:line="360" w:lineRule="atLeast"/>
              <w:jc w:val="center"/>
              <w:rPr>
                <w:rFonts w:cs="Arial Narrow" w:asciiTheme="majorEastAsia" w:hAnsiTheme="majorEastAsia" w:eastAsiaTheme="majorEastAsia"/>
                <w:sz w:val="18"/>
                <w:szCs w:val="18"/>
              </w:rPr>
            </w:pPr>
            <w:r>
              <w:rPr>
                <w:rFonts w:cs="Arial Narrow" w:asciiTheme="majorEastAsia" w:hAnsiTheme="majorEastAsia" w:eastAsiaTheme="majorEastAsia"/>
                <w:sz w:val="18"/>
                <w:szCs w:val="18"/>
              </w:rPr>
              <w:t xml:space="preserve">  0.</w:t>
            </w:r>
            <w:r>
              <w:rPr>
                <w:rFonts w:hint="eastAsia" w:cs="Arial Narrow" w:asciiTheme="majorEastAsia" w:hAnsiTheme="majorEastAsia" w:eastAsiaTheme="majorEastAsia"/>
                <w:sz w:val="18"/>
                <w:szCs w:val="18"/>
              </w:rPr>
              <w:t>5</w:t>
            </w:r>
          </w:p>
        </w:tc>
        <w:tc>
          <w:tcPr>
            <w:tcW w:w="2907" w:type="dxa"/>
            <w:vAlign w:val="center"/>
          </w:tcPr>
          <w:p>
            <w:pPr>
              <w:adjustRightInd w:val="0"/>
              <w:snapToGrid w:val="0"/>
              <w:spacing w:line="360" w:lineRule="atLeast"/>
              <w:jc w:val="center"/>
              <w:rPr>
                <w:rFonts w:cs="Arial Narrow" w:asciiTheme="majorEastAsia" w:hAnsiTheme="majorEastAsia" w:eastAsiaTheme="majorEastAsia"/>
                <w:sz w:val="18"/>
                <w:szCs w:val="18"/>
              </w:rPr>
            </w:pPr>
            <w:r>
              <w:rPr>
                <w:rFonts w:cs="Arial Narrow" w:asciiTheme="majorEastAsia" w:hAnsiTheme="majorEastAsia" w:eastAsiaTheme="majorEastAsia"/>
                <w:sz w:val="18"/>
                <w:szCs w:val="18"/>
              </w:rPr>
              <w:t xml:space="preserve">  </w:t>
            </w:r>
            <w:r>
              <w:rPr>
                <w:rFonts w:hint="eastAsia" w:cs="Arial Narrow" w:asciiTheme="majorEastAsia" w:hAnsiTheme="majorEastAsia" w:eastAsiaTheme="majorEastAsia"/>
                <w:sz w:val="18"/>
                <w:szCs w:val="18"/>
              </w:rPr>
              <w:t>0</w:t>
            </w:r>
            <w:r>
              <w:rPr>
                <w:rFonts w:cs="Arial Narrow" w:asciiTheme="majorEastAsia" w:hAnsiTheme="majorEastAsia" w:eastAsiaTheme="majorEastAsia"/>
                <w:sz w:val="18"/>
                <w:szCs w:val="18"/>
              </w:rPr>
              <w:t>.5</w:t>
            </w:r>
          </w:p>
        </w:tc>
      </w:tr>
    </w:tbl>
    <w:p>
      <w:pPr>
        <w:widowControl/>
        <w:spacing w:before="156" w:beforeLines="50" w:after="156" w:afterLines="50"/>
        <w:ind w:firstLine="315" w:firstLineChars="150"/>
        <w:jc w:val="left"/>
        <w:rPr>
          <w:rFonts w:ascii="宋体" w:hAnsi="宋体" w:cs="宋体"/>
          <w:bCs/>
          <w:snapToGrid w:val="0"/>
          <w:kern w:val="0"/>
        </w:rPr>
      </w:pPr>
      <w:r>
        <w:rPr>
          <w:rFonts w:hint="eastAsia" w:ascii="宋体" w:hAnsi="宋体" w:cs="宋体"/>
          <w:bCs/>
          <w:snapToGrid w:val="0"/>
          <w:kern w:val="0"/>
        </w:rPr>
        <w:t>3、单项金额虽不重大但单项计提坏账准备的应收款项</w:t>
      </w:r>
    </w:p>
    <w:tbl>
      <w:tblPr>
        <w:tblStyle w:val="31"/>
        <w:tblW w:w="8720" w:type="dxa"/>
        <w:jc w:val="center"/>
        <w:tblInd w:w="0" w:type="dxa"/>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
      <w:tblGrid>
        <w:gridCol w:w="2403"/>
        <w:gridCol w:w="6317"/>
      </w:tblGrid>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340" w:hRule="atLeast"/>
          <w:tblHeader/>
          <w:jc w:val="center"/>
        </w:trPr>
        <w:tc>
          <w:tcPr>
            <w:tcW w:w="2403" w:type="dxa"/>
            <w:tcBorders>
              <w:top w:val="single" w:color="auto" w:sz="12" w:space="0"/>
            </w:tcBorders>
            <w:vAlign w:val="center"/>
          </w:tcPr>
          <w:p>
            <w:pPr>
              <w:pStyle w:val="59"/>
              <w:adjustRightInd w:val="0"/>
              <w:snapToGrid w:val="0"/>
              <w:spacing w:after="0"/>
              <w:ind w:left="0" w:leftChars="0"/>
              <w:rPr>
                <w:rFonts w:ascii="宋体" w:hAnsi="宋体" w:cs="Arial"/>
                <w:snapToGrid w:val="0"/>
                <w:kern w:val="0"/>
                <w:sz w:val="18"/>
                <w:szCs w:val="18"/>
              </w:rPr>
            </w:pPr>
            <w:r>
              <w:rPr>
                <w:rFonts w:hint="eastAsia" w:ascii="宋体" w:hAnsi="宋体" w:cs="Arial"/>
                <w:snapToGrid w:val="0"/>
                <w:kern w:val="0"/>
                <w:sz w:val="18"/>
                <w:szCs w:val="18"/>
              </w:rPr>
              <w:t>单项计提坏账准备的理由</w:t>
            </w:r>
          </w:p>
        </w:tc>
        <w:tc>
          <w:tcPr>
            <w:tcW w:w="6317" w:type="dxa"/>
            <w:tcBorders>
              <w:top w:val="single" w:color="auto" w:sz="12" w:space="0"/>
            </w:tcBorders>
            <w:vAlign w:val="center"/>
          </w:tcPr>
          <w:p>
            <w:pPr>
              <w:pStyle w:val="59"/>
              <w:adjustRightInd w:val="0"/>
              <w:snapToGrid w:val="0"/>
              <w:spacing w:after="0"/>
              <w:ind w:left="0" w:leftChars="0"/>
              <w:rPr>
                <w:rFonts w:ascii="宋体" w:hAnsi="宋体" w:cs="Arial"/>
                <w:snapToGrid w:val="0"/>
                <w:kern w:val="0"/>
                <w:sz w:val="18"/>
                <w:szCs w:val="18"/>
              </w:rPr>
            </w:pPr>
            <w:r>
              <w:rPr>
                <w:rFonts w:hint="eastAsia" w:ascii="宋体" w:hAnsi="宋体"/>
                <w:snapToGrid w:val="0"/>
                <w:kern w:val="0"/>
                <w:sz w:val="18"/>
                <w:szCs w:val="18"/>
              </w:rPr>
              <w:t>账龄</w:t>
            </w:r>
            <w:r>
              <w:rPr>
                <w:rFonts w:ascii="宋体" w:hAnsi="宋体" w:cs="Arial"/>
                <w:snapToGrid w:val="0"/>
                <w:kern w:val="0"/>
                <w:sz w:val="18"/>
                <w:szCs w:val="18"/>
              </w:rPr>
              <w:t>3</w:t>
            </w:r>
            <w:r>
              <w:rPr>
                <w:rFonts w:hint="eastAsia" w:ascii="宋体" w:hAnsi="宋体"/>
                <w:snapToGrid w:val="0"/>
                <w:kern w:val="0"/>
                <w:sz w:val="18"/>
                <w:szCs w:val="18"/>
              </w:rPr>
              <w:t>年以上的应收款项且有客观证据表明其发生了减值</w:t>
            </w:r>
            <w:r>
              <w:rPr>
                <w:rFonts w:ascii="宋体" w:hAnsi="宋体"/>
                <w:snapToGrid w:val="0"/>
                <w:kern w:val="0"/>
                <w:sz w:val="18"/>
                <w:szCs w:val="18"/>
              </w:rPr>
              <w:t xml:space="preserve"> </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340" w:hRule="atLeast"/>
          <w:jc w:val="center"/>
        </w:trPr>
        <w:tc>
          <w:tcPr>
            <w:tcW w:w="2403" w:type="dxa"/>
            <w:tcBorders>
              <w:bottom w:val="single" w:color="auto" w:sz="12" w:space="0"/>
            </w:tcBorders>
            <w:vAlign w:val="center"/>
          </w:tcPr>
          <w:p>
            <w:pPr>
              <w:pStyle w:val="59"/>
              <w:adjustRightInd w:val="0"/>
              <w:snapToGrid w:val="0"/>
              <w:spacing w:after="0"/>
              <w:ind w:left="0" w:leftChars="0"/>
              <w:rPr>
                <w:rFonts w:ascii="宋体" w:hAnsi="宋体" w:cs="Arial"/>
                <w:snapToGrid w:val="0"/>
                <w:kern w:val="0"/>
                <w:sz w:val="18"/>
                <w:szCs w:val="18"/>
              </w:rPr>
            </w:pPr>
            <w:r>
              <w:rPr>
                <w:rFonts w:hint="eastAsia" w:ascii="宋体" w:hAnsi="宋体" w:cs="Arial"/>
                <w:snapToGrid w:val="0"/>
                <w:kern w:val="0"/>
                <w:sz w:val="18"/>
                <w:szCs w:val="18"/>
              </w:rPr>
              <w:t>坏账准备的计提方法</w:t>
            </w:r>
          </w:p>
        </w:tc>
        <w:tc>
          <w:tcPr>
            <w:tcW w:w="6317" w:type="dxa"/>
            <w:tcBorders>
              <w:bottom w:val="single" w:color="auto" w:sz="12" w:space="0"/>
            </w:tcBorders>
          </w:tcPr>
          <w:p>
            <w:pPr>
              <w:pStyle w:val="55"/>
              <w:snapToGrid w:val="0"/>
              <w:rPr>
                <w:rFonts w:ascii="宋体" w:hAnsi="宋体" w:eastAsia="宋体"/>
                <w:snapToGrid w:val="0"/>
                <w:sz w:val="18"/>
                <w:szCs w:val="18"/>
              </w:rPr>
            </w:pPr>
            <w:r>
              <w:rPr>
                <w:rFonts w:hint="eastAsia" w:ascii="宋体" w:hAnsi="宋体" w:eastAsia="宋体"/>
                <w:snapToGrid w:val="0"/>
                <w:sz w:val="18"/>
                <w:szCs w:val="18"/>
              </w:rPr>
              <w:t>根据其账面价值与预计未来现金流量现值之间差额确认</w:t>
            </w:r>
            <w:r>
              <w:rPr>
                <w:rFonts w:ascii="宋体" w:hAnsi="宋体" w:eastAsia="宋体"/>
                <w:snapToGrid w:val="0"/>
                <w:sz w:val="18"/>
                <w:szCs w:val="18"/>
              </w:rPr>
              <w:t xml:space="preserve"> </w:t>
            </w:r>
          </w:p>
        </w:tc>
      </w:tr>
    </w:tbl>
    <w:p>
      <w:pPr>
        <w:pStyle w:val="15"/>
        <w:numPr>
          <w:ilvl w:val="0"/>
          <w:numId w:val="4"/>
        </w:numPr>
        <w:tabs>
          <w:tab w:val="left" w:pos="851"/>
          <w:tab w:val="left" w:pos="1134"/>
        </w:tabs>
        <w:snapToGrid w:val="0"/>
        <w:spacing w:line="460" w:lineRule="atLeast"/>
        <w:ind w:left="0" w:firstLine="420" w:firstLineChars="200"/>
        <w:outlineLvl w:val="1"/>
        <w:rPr>
          <w:rFonts w:hAnsi="宋体"/>
        </w:rPr>
      </w:pPr>
      <w:r>
        <w:rPr>
          <w:rFonts w:hint="eastAsia" w:hAnsi="宋体"/>
        </w:rPr>
        <w:t>存货</w:t>
      </w:r>
    </w:p>
    <w:p>
      <w:pPr>
        <w:widowControl/>
        <w:spacing w:line="460" w:lineRule="atLeast"/>
        <w:ind w:firstLine="420" w:firstLineChars="200"/>
        <w:jc w:val="left"/>
        <w:rPr>
          <w:rFonts w:ascii="宋体" w:hAnsi="宋体" w:cs="宋体"/>
          <w:bCs/>
          <w:snapToGrid w:val="0"/>
          <w:kern w:val="0"/>
        </w:rPr>
      </w:pPr>
      <w:r>
        <w:rPr>
          <w:rFonts w:hint="eastAsia" w:ascii="宋体" w:hAnsi="宋体" w:cs="宋体"/>
          <w:bCs/>
          <w:snapToGrid w:val="0"/>
          <w:kern w:val="0"/>
        </w:rPr>
        <w:t>1、存货的分类</w:t>
      </w:r>
    </w:p>
    <w:p>
      <w:pPr>
        <w:pStyle w:val="15"/>
        <w:snapToGrid w:val="0"/>
        <w:spacing w:line="460" w:lineRule="atLeast"/>
        <w:ind w:firstLine="420" w:firstLineChars="200"/>
        <w:rPr>
          <w:rFonts w:hAnsi="宋体"/>
          <w:snapToGrid w:val="0"/>
          <w:color w:val="3333FF"/>
          <w:kern w:val="0"/>
        </w:rPr>
      </w:pPr>
      <w:r>
        <w:rPr>
          <w:rFonts w:hint="eastAsia" w:hAnsi="宋体"/>
          <w:snapToGrid w:val="0"/>
          <w:kern w:val="0"/>
        </w:rPr>
        <w:t>存货是指本公司在日常活动中持有以备出售的产成品或商品、处在生产过程中的在产品、在生产过程或提供劳务过程中耗用的材料和物料等。主要包括原材料、周转材料、包装物、低值易耗品、在产品、自制半成品、产成品、发出商品等。</w:t>
      </w:r>
    </w:p>
    <w:p>
      <w:pPr>
        <w:widowControl/>
        <w:spacing w:line="460" w:lineRule="atLeast"/>
        <w:ind w:firstLine="420" w:firstLineChars="200"/>
        <w:jc w:val="left"/>
        <w:rPr>
          <w:rFonts w:ascii="宋体" w:hAnsi="宋体" w:cs="宋体"/>
          <w:bCs/>
          <w:snapToGrid w:val="0"/>
          <w:kern w:val="0"/>
        </w:rPr>
      </w:pPr>
      <w:r>
        <w:rPr>
          <w:rFonts w:hint="eastAsia" w:ascii="宋体" w:hAnsi="宋体" w:cs="宋体"/>
          <w:bCs/>
          <w:snapToGrid w:val="0"/>
          <w:kern w:val="0"/>
        </w:rPr>
        <w:t>2、发出存货的计价方法</w:t>
      </w:r>
    </w:p>
    <w:p>
      <w:pPr>
        <w:pStyle w:val="15"/>
        <w:snapToGrid w:val="0"/>
        <w:spacing w:line="460" w:lineRule="atLeast"/>
        <w:ind w:firstLine="420" w:firstLineChars="200"/>
        <w:rPr>
          <w:rFonts w:hAnsi="宋体"/>
          <w:snapToGrid w:val="0"/>
          <w:kern w:val="0"/>
        </w:rPr>
      </w:pPr>
      <w:r>
        <w:rPr>
          <w:rFonts w:hint="eastAsia" w:hAnsi="宋体"/>
          <w:snapToGrid w:val="0"/>
          <w:kern w:val="0"/>
        </w:rPr>
        <w:t>存货发出时，采取月末一次加权平均法确定其发出的实际成本。</w:t>
      </w:r>
    </w:p>
    <w:p>
      <w:pPr>
        <w:widowControl/>
        <w:spacing w:line="460" w:lineRule="atLeast"/>
        <w:ind w:firstLine="420" w:firstLineChars="200"/>
        <w:jc w:val="left"/>
        <w:rPr>
          <w:rFonts w:ascii="宋体" w:hAnsi="宋体" w:cs="宋体"/>
          <w:bCs/>
          <w:snapToGrid w:val="0"/>
          <w:kern w:val="0"/>
        </w:rPr>
      </w:pPr>
      <w:r>
        <w:rPr>
          <w:rFonts w:hint="eastAsia" w:ascii="宋体" w:hAnsi="宋体" w:cs="宋体"/>
          <w:bCs/>
          <w:snapToGrid w:val="0"/>
          <w:kern w:val="0"/>
        </w:rPr>
        <w:t>3、存货跌价准备的计提方法</w:t>
      </w:r>
    </w:p>
    <w:p>
      <w:pPr>
        <w:pStyle w:val="15"/>
        <w:snapToGrid w:val="0"/>
        <w:spacing w:line="460" w:lineRule="atLeast"/>
        <w:ind w:firstLine="420" w:firstLineChars="200"/>
        <w:rPr>
          <w:rFonts w:hAnsi="宋体"/>
          <w:snapToGrid w:val="0"/>
          <w:kern w:val="0"/>
        </w:rPr>
      </w:pPr>
      <w:r>
        <w:rPr>
          <w:rFonts w:hint="eastAsia" w:hAnsi="宋体"/>
          <w:snapToGrid w:val="0"/>
          <w:kern w:val="0"/>
        </w:rPr>
        <w:t>资产负债表日，存货按照成本与可变现净值孰低计量，并按单个存货项目计提存货跌价准备，但对于数量繁多、单价较低的存货，按照存货类别计提存货跌价准备。</w:t>
      </w:r>
    </w:p>
    <w:p>
      <w:pPr>
        <w:widowControl/>
        <w:adjustRightInd w:val="0"/>
        <w:snapToGrid w:val="0"/>
        <w:spacing w:line="460" w:lineRule="atLeast"/>
        <w:ind w:firstLine="420" w:firstLineChars="200"/>
        <w:jc w:val="left"/>
        <w:rPr>
          <w:rFonts w:ascii="宋体" w:hAnsi="宋体" w:cs="宋体"/>
          <w:snapToGrid w:val="0"/>
          <w:kern w:val="0"/>
        </w:rPr>
      </w:pPr>
      <w:r>
        <w:rPr>
          <w:rFonts w:hint="eastAsia" w:ascii="宋体" w:hAnsi="宋体" w:cs="宋体"/>
          <w:snapToGrid w:val="0"/>
          <w:kern w:val="0"/>
        </w:rPr>
        <w:t>产成品、在产品和用于出售的材料等直接用于出售的商品存货，其可变现净值按该存货的估计售价减去估计的销售费用和相关税费后的金额确定；用于生产而持有的材料存货，其可变现净值按所生产的产成品的估计售价减去至完工时估计将要发生的成本、估计的销售费用和相关税费后的金额确定。为执行销售合同或者劳务合同而持有的存货，其可变现净值以合同价格为基础计算；企业持有存货的数量多于销售合同订购数量的，超出部分的存货可变现净值以一般销售价格为基础计算。</w:t>
      </w:r>
    </w:p>
    <w:p>
      <w:pPr>
        <w:widowControl/>
        <w:spacing w:line="460" w:lineRule="atLeast"/>
        <w:ind w:firstLine="420" w:firstLineChars="200"/>
        <w:jc w:val="left"/>
        <w:rPr>
          <w:rFonts w:ascii="宋体" w:hAnsi="宋体" w:cs="宋体"/>
          <w:bCs/>
          <w:snapToGrid w:val="0"/>
          <w:kern w:val="0"/>
        </w:rPr>
      </w:pPr>
      <w:r>
        <w:rPr>
          <w:rFonts w:hint="eastAsia" w:ascii="宋体" w:hAnsi="宋体" w:cs="宋体"/>
          <w:bCs/>
          <w:snapToGrid w:val="0"/>
          <w:kern w:val="0"/>
        </w:rPr>
        <w:t>4、存货的盘存制度</w:t>
      </w:r>
    </w:p>
    <w:p>
      <w:pPr>
        <w:pStyle w:val="15"/>
        <w:snapToGrid w:val="0"/>
        <w:spacing w:line="460" w:lineRule="atLeast"/>
        <w:ind w:firstLine="420" w:firstLineChars="200"/>
        <w:rPr>
          <w:rFonts w:hAnsi="宋体"/>
          <w:snapToGrid w:val="0"/>
          <w:kern w:val="0"/>
        </w:rPr>
      </w:pPr>
      <w:r>
        <w:rPr>
          <w:rFonts w:hint="eastAsia" w:hAnsi="宋体"/>
          <w:snapToGrid w:val="0"/>
          <w:kern w:val="0"/>
        </w:rPr>
        <w:t>本公司的存货盘存制度为永续盘存制。</w:t>
      </w:r>
    </w:p>
    <w:p>
      <w:pPr>
        <w:widowControl/>
        <w:spacing w:line="460" w:lineRule="atLeast"/>
        <w:ind w:firstLine="420" w:firstLineChars="200"/>
        <w:jc w:val="left"/>
        <w:rPr>
          <w:rFonts w:ascii="宋体" w:hAnsi="宋体" w:cs="宋体"/>
          <w:bCs/>
          <w:snapToGrid w:val="0"/>
          <w:kern w:val="0"/>
        </w:rPr>
      </w:pPr>
      <w:r>
        <w:rPr>
          <w:rFonts w:hint="eastAsia" w:ascii="宋体" w:hAnsi="宋体" w:cs="宋体"/>
          <w:bCs/>
          <w:snapToGrid w:val="0"/>
          <w:kern w:val="0"/>
        </w:rPr>
        <w:t>5、低值易耗品和包装物的摊销方法</w:t>
      </w:r>
    </w:p>
    <w:p>
      <w:pPr>
        <w:pStyle w:val="15"/>
        <w:snapToGrid w:val="0"/>
        <w:spacing w:line="460" w:lineRule="atLeast"/>
        <w:ind w:firstLine="420" w:firstLineChars="200"/>
        <w:rPr>
          <w:rFonts w:hAnsi="宋体"/>
          <w:snapToGrid w:val="0"/>
          <w:color w:val="000099"/>
          <w:kern w:val="0"/>
        </w:rPr>
      </w:pPr>
      <w:r>
        <w:rPr>
          <w:rFonts w:hint="eastAsia" w:hAnsi="宋体"/>
          <w:snapToGrid w:val="0"/>
          <w:kern w:val="0"/>
        </w:rPr>
        <w:t>低值易耗品和包装物采用一次转销法摊销</w:t>
      </w:r>
      <w:r>
        <w:rPr>
          <w:rFonts w:hint="eastAsia" w:hAnsi="宋体"/>
          <w:snapToGrid w:val="0"/>
          <w:color w:val="000099"/>
          <w:kern w:val="0"/>
        </w:rPr>
        <w:t>。</w:t>
      </w:r>
    </w:p>
    <w:p>
      <w:pPr>
        <w:pStyle w:val="15"/>
        <w:numPr>
          <w:ilvl w:val="0"/>
          <w:numId w:val="4"/>
        </w:numPr>
        <w:tabs>
          <w:tab w:val="left" w:pos="851"/>
          <w:tab w:val="left" w:pos="1134"/>
        </w:tabs>
        <w:snapToGrid w:val="0"/>
        <w:spacing w:line="460" w:lineRule="atLeast"/>
        <w:ind w:left="0" w:firstLine="420" w:firstLineChars="200"/>
        <w:outlineLvl w:val="1"/>
        <w:rPr>
          <w:rFonts w:hAnsi="宋体"/>
          <w:bCs/>
          <w:snapToGrid w:val="0"/>
          <w:kern w:val="0"/>
        </w:rPr>
      </w:pPr>
      <w:r>
        <w:rPr>
          <w:rFonts w:hint="eastAsia" w:hAnsi="宋体"/>
        </w:rPr>
        <w:t>长期股权投</w:t>
      </w:r>
      <w:r>
        <w:rPr>
          <w:rFonts w:hint="eastAsia" w:hAnsi="宋体"/>
          <w:bCs/>
          <w:snapToGrid w:val="0"/>
          <w:kern w:val="0"/>
        </w:rPr>
        <w:t>资</w:t>
      </w:r>
      <w:r>
        <w:rPr>
          <w:rFonts w:hAnsi="宋体"/>
          <w:bCs/>
          <w:snapToGrid w:val="0"/>
          <w:kern w:val="0"/>
        </w:rPr>
        <w:t xml:space="preserve"> </w:t>
      </w:r>
    </w:p>
    <w:p>
      <w:pPr>
        <w:widowControl/>
        <w:spacing w:line="460" w:lineRule="atLeast"/>
        <w:ind w:firstLine="420" w:firstLineChars="200"/>
        <w:jc w:val="left"/>
        <w:rPr>
          <w:rFonts w:ascii="宋体" w:hAnsi="宋体" w:cs="宋体"/>
          <w:bCs/>
          <w:snapToGrid w:val="0"/>
          <w:kern w:val="0"/>
        </w:rPr>
      </w:pPr>
      <w:r>
        <w:rPr>
          <w:rFonts w:hint="eastAsia" w:ascii="宋体" w:hAnsi="宋体" w:cs="宋体"/>
          <w:bCs/>
          <w:snapToGrid w:val="0"/>
          <w:kern w:val="0"/>
        </w:rPr>
        <w:t>1、初始投资成本确定</w:t>
      </w:r>
    </w:p>
    <w:p>
      <w:pPr>
        <w:pStyle w:val="15"/>
        <w:snapToGrid w:val="0"/>
        <w:spacing w:line="460" w:lineRule="atLeast"/>
        <w:ind w:firstLine="420" w:firstLineChars="200"/>
        <w:rPr>
          <w:rFonts w:hAnsi="宋体"/>
          <w:snapToGrid w:val="0"/>
          <w:kern w:val="0"/>
        </w:rPr>
      </w:pPr>
      <w:r>
        <w:rPr>
          <w:rFonts w:hint="eastAsia" w:hAnsi="宋体"/>
          <w:snapToGrid w:val="0"/>
          <w:kern w:val="0"/>
        </w:rPr>
        <w:t>对于企业合并取得的长期股权投资，如为同一控制下的企业合并，应当按照取得被合并方所有者权益账面价值的份额确认为初始成本；非同一控制下的企业合并，应当按购买日确定的合并成本确认为初始成本；以支付现金取得的长期股权投资，初始投资成本为实际支付的购买价款；以发行权益性证券取得的长期股权投资，初始投资成本为发行权益性证券的公允价值；</w:t>
      </w:r>
      <w:r>
        <w:rPr>
          <w:rFonts w:hint="eastAsia" w:hAnsi="宋体" w:cs="Arial"/>
          <w:snapToGrid w:val="0"/>
          <w:kern w:val="0"/>
        </w:rPr>
        <w:t>通过债务重组取得的长期股权投资，其初始投资成本应当按照《企业会计准则第</w:t>
      </w:r>
      <w:r>
        <w:rPr>
          <w:rFonts w:hAnsi="宋体" w:cs="Arial"/>
          <w:snapToGrid w:val="0"/>
          <w:kern w:val="0"/>
        </w:rPr>
        <w:t>12</w:t>
      </w:r>
      <w:r>
        <w:rPr>
          <w:rFonts w:hint="eastAsia" w:hAnsi="宋体" w:cs="Arial"/>
          <w:snapToGrid w:val="0"/>
          <w:kern w:val="0"/>
        </w:rPr>
        <w:t>号</w:t>
      </w:r>
      <w:r>
        <w:rPr>
          <w:rFonts w:hAnsi="宋体" w:cs="Arial"/>
          <w:snapToGrid w:val="0"/>
          <w:kern w:val="0"/>
        </w:rPr>
        <w:t>—</w:t>
      </w:r>
      <w:r>
        <w:rPr>
          <w:rFonts w:hint="eastAsia" w:hAnsi="宋体" w:cs="Arial"/>
          <w:snapToGrid w:val="0"/>
          <w:kern w:val="0"/>
        </w:rPr>
        <w:t>债务重组》的有关规定确定；</w:t>
      </w:r>
      <w:r>
        <w:rPr>
          <w:rFonts w:hint="eastAsia" w:hAnsi="宋体"/>
          <w:snapToGrid w:val="0"/>
          <w:kern w:val="0"/>
        </w:rPr>
        <w:t>非货币性资产交换取得的长期股权投资，初始投资成本根据准则相关规定确定。</w:t>
      </w:r>
    </w:p>
    <w:p>
      <w:pPr>
        <w:widowControl/>
        <w:spacing w:line="460" w:lineRule="atLeast"/>
        <w:ind w:firstLine="420" w:firstLineChars="200"/>
        <w:jc w:val="left"/>
        <w:rPr>
          <w:rFonts w:ascii="宋体" w:hAnsi="宋体" w:cs="宋体"/>
          <w:bCs/>
          <w:snapToGrid w:val="0"/>
          <w:kern w:val="0"/>
        </w:rPr>
      </w:pPr>
      <w:r>
        <w:rPr>
          <w:rFonts w:hint="eastAsia" w:ascii="宋体" w:hAnsi="宋体" w:cs="宋体"/>
          <w:bCs/>
          <w:snapToGrid w:val="0"/>
          <w:kern w:val="0"/>
        </w:rPr>
        <w:t>2、后续计量及损益确认方法</w:t>
      </w:r>
    </w:p>
    <w:p>
      <w:pPr>
        <w:pStyle w:val="15"/>
        <w:snapToGrid w:val="0"/>
        <w:spacing w:line="460" w:lineRule="atLeast"/>
        <w:ind w:firstLine="420" w:firstLineChars="200"/>
        <w:rPr>
          <w:rFonts w:hAnsi="宋体" w:cs="Arial"/>
          <w:snapToGrid w:val="0"/>
          <w:kern w:val="0"/>
        </w:rPr>
      </w:pPr>
      <w:r>
        <w:rPr>
          <w:rFonts w:hint="eastAsia" w:hAnsi="宋体" w:cs="Arial"/>
          <w:snapToGrid w:val="0"/>
          <w:kern w:val="0"/>
        </w:rPr>
        <w:t>投资方能够对被投资单位实施控制的长期股权投资应当采用成本法核算，对联营企业和合营企业的长期股权投资采用权益法核算</w:t>
      </w:r>
      <w:r>
        <w:rPr>
          <w:rFonts w:hint="eastAsia" w:hAnsi="宋体"/>
          <w:snapToGrid w:val="0"/>
          <w:kern w:val="0"/>
        </w:rPr>
        <w:t>。</w:t>
      </w:r>
      <w:r>
        <w:rPr>
          <w:rFonts w:hint="eastAsia" w:hAnsi="宋体" w:cs="Arial"/>
          <w:snapToGrid w:val="0"/>
          <w:kern w:val="0"/>
        </w:rPr>
        <w:t>投资方对联营企业的权益性投资，其中一部分通过风险投资机构、共同基金、信托公司或包括投连险基金在内的类似主体间接持有的，无论以上主体是否对这部分投资具有重大影响，投资方都应当按照《企业会计准则第</w:t>
      </w:r>
      <w:r>
        <w:rPr>
          <w:rFonts w:hAnsi="宋体" w:cs="Arial"/>
          <w:snapToGrid w:val="0"/>
          <w:kern w:val="0"/>
        </w:rPr>
        <w:t>22</w:t>
      </w:r>
      <w:r>
        <w:rPr>
          <w:rFonts w:hint="eastAsia" w:hAnsi="宋体" w:cs="Arial"/>
          <w:snapToGrid w:val="0"/>
          <w:kern w:val="0"/>
        </w:rPr>
        <w:t>号</w:t>
      </w:r>
      <w:r>
        <w:rPr>
          <w:rFonts w:hAnsi="宋体" w:cs="Arial"/>
          <w:snapToGrid w:val="0"/>
          <w:kern w:val="0"/>
        </w:rPr>
        <w:t>——</w:t>
      </w:r>
      <w:r>
        <w:rPr>
          <w:rFonts w:hint="eastAsia" w:hAnsi="宋体" w:cs="Arial"/>
          <w:snapToGrid w:val="0"/>
          <w:kern w:val="0"/>
        </w:rPr>
        <w:t>金融工具确认和计量》的有关规定，对间接持有的该部分投资选择以公允价值计量且其变动计入损益，并对其余部分采用权益法核算。</w:t>
      </w:r>
    </w:p>
    <w:p>
      <w:pPr>
        <w:widowControl/>
        <w:spacing w:line="460" w:lineRule="atLeast"/>
        <w:ind w:firstLine="420" w:firstLineChars="200"/>
        <w:jc w:val="left"/>
        <w:rPr>
          <w:rFonts w:ascii="宋体" w:hAnsi="宋体" w:cs="宋体"/>
          <w:bCs/>
          <w:snapToGrid w:val="0"/>
          <w:kern w:val="0"/>
        </w:rPr>
      </w:pPr>
      <w:r>
        <w:rPr>
          <w:rFonts w:hint="eastAsia" w:ascii="宋体" w:hAnsi="宋体" w:cs="宋体"/>
          <w:bCs/>
          <w:snapToGrid w:val="0"/>
          <w:kern w:val="0"/>
        </w:rPr>
        <w:t>3、确定对被投资单位具有共同控制、重大影响的依据</w:t>
      </w:r>
    </w:p>
    <w:p>
      <w:pPr>
        <w:pStyle w:val="15"/>
        <w:snapToGrid w:val="0"/>
        <w:spacing w:line="460" w:lineRule="atLeast"/>
        <w:ind w:firstLine="420" w:firstLineChars="200"/>
        <w:rPr>
          <w:rFonts w:hAnsi="宋体"/>
          <w:snapToGrid w:val="0"/>
          <w:kern w:val="0"/>
        </w:rPr>
      </w:pPr>
      <w:r>
        <w:rPr>
          <w:rFonts w:hint="eastAsia" w:hAnsi="宋体"/>
          <w:snapToGrid w:val="0"/>
          <w:kern w:val="0"/>
        </w:rPr>
        <w:t>对被投资单位具有共同控制，</w:t>
      </w:r>
      <w:r>
        <w:rPr>
          <w:rFonts w:hint="eastAsia" w:hAnsi="宋体" w:cs="Arial"/>
          <w:snapToGrid w:val="0"/>
          <w:kern w:val="0"/>
        </w:rPr>
        <w:t>是指对某项安排的回报产生重大影响的活动必须经过分享控制权的参与方一致同意后才能决策</w:t>
      </w:r>
      <w:r>
        <w:rPr>
          <w:rFonts w:hint="eastAsia" w:hAnsi="宋体"/>
          <w:snapToGrid w:val="0"/>
          <w:kern w:val="0"/>
        </w:rPr>
        <w:t>，</w:t>
      </w:r>
      <w:r>
        <w:rPr>
          <w:rFonts w:hint="eastAsia" w:hAnsi="宋体" w:cs="Arial"/>
          <w:snapToGrid w:val="0"/>
          <w:kern w:val="0"/>
        </w:rPr>
        <w:t>包括商品或劳务的销售和购买、金融资产的管理、资产的购买和处置、研究与开发活动以及融资活动等；</w:t>
      </w:r>
      <w:r>
        <w:rPr>
          <w:rFonts w:hint="eastAsia" w:hAnsi="宋体"/>
          <w:snapToGrid w:val="0"/>
          <w:kern w:val="0"/>
        </w:rPr>
        <w:t>对被投资单位具有重大影响，是指当持有被投资单位</w:t>
      </w:r>
      <w:r>
        <w:rPr>
          <w:rFonts w:hAnsi="宋体"/>
          <w:snapToGrid w:val="0"/>
          <w:kern w:val="0"/>
        </w:rPr>
        <w:t>20%</w:t>
      </w:r>
      <w:r>
        <w:rPr>
          <w:rFonts w:hint="eastAsia" w:hAnsi="宋体"/>
          <w:snapToGrid w:val="0"/>
          <w:kern w:val="0"/>
        </w:rPr>
        <w:t>以上至</w:t>
      </w:r>
      <w:r>
        <w:rPr>
          <w:rFonts w:hAnsi="宋体"/>
          <w:snapToGrid w:val="0"/>
          <w:kern w:val="0"/>
        </w:rPr>
        <w:t>50%</w:t>
      </w:r>
      <w:r>
        <w:rPr>
          <w:rFonts w:hint="eastAsia" w:hAnsi="宋体"/>
          <w:snapToGrid w:val="0"/>
          <w:kern w:val="0"/>
        </w:rPr>
        <w:t>的表决权资本时，具有重大影响。或虽不足</w:t>
      </w:r>
      <w:r>
        <w:rPr>
          <w:rFonts w:hAnsi="宋体"/>
          <w:snapToGrid w:val="0"/>
          <w:kern w:val="0"/>
        </w:rPr>
        <w:t>20%</w:t>
      </w:r>
      <w:r>
        <w:rPr>
          <w:rFonts w:hint="eastAsia" w:hAnsi="宋体"/>
          <w:snapToGrid w:val="0"/>
          <w:kern w:val="0"/>
        </w:rPr>
        <w:t>，但符合下列条件之一时，具有重大影响：在被投资单位的董事会或类似的权力机构中派有代表；参与被投资单位的政策制定过程；向被投资单位派出管理人员；被投资单位依赖投资公司的技术或技术资料；与被投资单位之间发生重要交易。</w:t>
      </w:r>
    </w:p>
    <w:p>
      <w:pPr>
        <w:pStyle w:val="15"/>
        <w:numPr>
          <w:ilvl w:val="0"/>
          <w:numId w:val="4"/>
        </w:numPr>
        <w:tabs>
          <w:tab w:val="left" w:pos="851"/>
          <w:tab w:val="left" w:pos="1134"/>
        </w:tabs>
        <w:snapToGrid w:val="0"/>
        <w:spacing w:line="460" w:lineRule="atLeast"/>
        <w:ind w:left="0" w:firstLine="420" w:firstLineChars="200"/>
        <w:outlineLvl w:val="1"/>
        <w:rPr>
          <w:rFonts w:hAnsi="宋体"/>
        </w:rPr>
      </w:pPr>
      <w:r>
        <w:rPr>
          <w:rFonts w:hint="eastAsia" w:hAnsi="宋体"/>
        </w:rPr>
        <w:t>固定资产</w:t>
      </w:r>
    </w:p>
    <w:p>
      <w:pPr>
        <w:widowControl/>
        <w:spacing w:line="460" w:lineRule="atLeast"/>
        <w:ind w:firstLine="420" w:firstLineChars="200"/>
        <w:jc w:val="left"/>
        <w:rPr>
          <w:rFonts w:ascii="宋体" w:hAnsi="宋体" w:cs="宋体"/>
          <w:bCs/>
          <w:snapToGrid w:val="0"/>
          <w:kern w:val="0"/>
        </w:rPr>
      </w:pPr>
      <w:r>
        <w:rPr>
          <w:rFonts w:hint="eastAsia" w:ascii="宋体" w:hAnsi="宋体" w:cs="宋体"/>
          <w:bCs/>
          <w:snapToGrid w:val="0"/>
          <w:kern w:val="0"/>
        </w:rPr>
        <w:t>1、固定资产确认条件</w:t>
      </w:r>
    </w:p>
    <w:p>
      <w:pPr>
        <w:pStyle w:val="15"/>
        <w:snapToGrid w:val="0"/>
        <w:spacing w:line="460" w:lineRule="atLeast"/>
        <w:ind w:firstLine="420" w:firstLineChars="200"/>
        <w:rPr>
          <w:rFonts w:hAnsi="宋体"/>
          <w:snapToGrid w:val="0"/>
          <w:kern w:val="0"/>
        </w:rPr>
      </w:pPr>
      <w:r>
        <w:rPr>
          <w:rFonts w:hint="eastAsia" w:hAnsi="宋体"/>
          <w:snapToGrid w:val="0"/>
          <w:kern w:val="0"/>
        </w:rPr>
        <w:t>固定资产指为生产商品、提供劳务、出租或经营管理而持有的，使用寿命超过一个会计年度的有形资产。同时满足以下条件时予以确认：与该固定资产有关的经济利益很可能流入企业；该固定资产的成本能够可靠地计量。</w:t>
      </w:r>
    </w:p>
    <w:p>
      <w:pPr>
        <w:widowControl/>
        <w:spacing w:line="460" w:lineRule="atLeast"/>
        <w:ind w:firstLine="420" w:firstLineChars="200"/>
        <w:jc w:val="left"/>
        <w:rPr>
          <w:rFonts w:ascii="宋体" w:hAnsi="宋体" w:cs="宋体"/>
          <w:bCs/>
          <w:snapToGrid w:val="0"/>
          <w:kern w:val="0"/>
        </w:rPr>
      </w:pPr>
      <w:r>
        <w:rPr>
          <w:rFonts w:hint="eastAsia" w:ascii="宋体" w:hAnsi="宋体" w:cs="宋体"/>
          <w:bCs/>
          <w:snapToGrid w:val="0"/>
          <w:kern w:val="0"/>
        </w:rPr>
        <w:t>2、固定资产分类和折旧方法</w:t>
      </w:r>
    </w:p>
    <w:p>
      <w:pPr>
        <w:pStyle w:val="15"/>
        <w:snapToGrid w:val="0"/>
        <w:spacing w:after="156" w:afterLines="50" w:line="460" w:lineRule="atLeast"/>
        <w:ind w:firstLine="420" w:firstLineChars="200"/>
        <w:textAlignment w:val="auto"/>
        <w:rPr>
          <w:rFonts w:hAnsi="宋体"/>
          <w:snapToGrid w:val="0"/>
          <w:kern w:val="0"/>
        </w:rPr>
      </w:pPr>
      <w:r>
        <w:rPr>
          <w:rFonts w:hint="eastAsia" w:hAnsi="宋体"/>
          <w:snapToGrid w:val="0"/>
          <w:kern w:val="0"/>
        </w:rPr>
        <w:t>本公司固定资产主要分为：办公及电子设备、运输设备、专用设备等；折旧方法采用</w:t>
      </w:r>
      <w:r>
        <w:rPr>
          <w:rFonts w:hint="eastAsia" w:hAnsi="宋体" w:cs="Arial"/>
        </w:rPr>
        <w:t>年限平均法</w:t>
      </w:r>
      <w:r>
        <w:rPr>
          <w:rFonts w:hint="eastAsia" w:hAnsi="宋体"/>
          <w:snapToGrid w:val="0"/>
          <w:kern w:val="0"/>
        </w:rPr>
        <w:t>。根据各类固定资产的性质和使用情况，确定固定资产的使用寿命和预计净残值。并在年度终了，对固定资产的使用寿命、预计净残值和折旧方法进行复核，如与原先估计数存在差异的，进行相应的调整。除已提足折旧仍继续使用的固定资产和单独计价入账的土地之外，本公司对所有固定资产计提折旧。</w:t>
      </w:r>
    </w:p>
    <w:tbl>
      <w:tblPr>
        <w:tblStyle w:val="31"/>
        <w:tblW w:w="8889" w:type="dxa"/>
        <w:jc w:val="center"/>
        <w:tblInd w:w="0" w:type="dxa"/>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
      <w:tblGrid>
        <w:gridCol w:w="2326"/>
        <w:gridCol w:w="2245"/>
        <w:gridCol w:w="2192"/>
        <w:gridCol w:w="2126"/>
      </w:tblGrid>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340" w:hRule="atLeast"/>
          <w:tblHeader/>
          <w:jc w:val="center"/>
        </w:trPr>
        <w:tc>
          <w:tcPr>
            <w:tcW w:w="2326" w:type="dxa"/>
            <w:tcBorders>
              <w:top w:val="single" w:color="auto" w:sz="12" w:space="0"/>
            </w:tcBorders>
            <w:vAlign w:val="center"/>
          </w:tcPr>
          <w:p>
            <w:pPr>
              <w:pStyle w:val="59"/>
              <w:adjustRightInd w:val="0"/>
              <w:snapToGrid w:val="0"/>
              <w:spacing w:after="0"/>
              <w:ind w:left="0" w:leftChars="0"/>
              <w:jc w:val="center"/>
              <w:rPr>
                <w:rFonts w:ascii="宋体" w:hAnsi="宋体" w:cs="Arial Narrow"/>
                <w:snapToGrid w:val="0"/>
                <w:kern w:val="0"/>
                <w:sz w:val="18"/>
                <w:szCs w:val="18"/>
              </w:rPr>
            </w:pPr>
            <w:r>
              <w:rPr>
                <w:rFonts w:hint="eastAsia" w:ascii="宋体" w:hAnsi="宋体" w:cs="宋体"/>
                <w:snapToGrid w:val="0"/>
                <w:kern w:val="0"/>
                <w:sz w:val="18"/>
                <w:szCs w:val="18"/>
              </w:rPr>
              <w:t>资产类别</w:t>
            </w:r>
          </w:p>
        </w:tc>
        <w:tc>
          <w:tcPr>
            <w:tcW w:w="2245" w:type="dxa"/>
            <w:tcBorders>
              <w:top w:val="single" w:color="auto" w:sz="12" w:space="0"/>
            </w:tcBorders>
            <w:vAlign w:val="center"/>
          </w:tcPr>
          <w:p>
            <w:pPr>
              <w:pStyle w:val="59"/>
              <w:adjustRightInd w:val="0"/>
              <w:snapToGrid w:val="0"/>
              <w:spacing w:after="0"/>
              <w:ind w:left="0" w:leftChars="0"/>
              <w:jc w:val="center"/>
              <w:rPr>
                <w:rFonts w:ascii="宋体" w:hAnsi="宋体" w:cs="Arial Narrow"/>
                <w:snapToGrid w:val="0"/>
                <w:kern w:val="0"/>
                <w:sz w:val="18"/>
                <w:szCs w:val="18"/>
              </w:rPr>
            </w:pPr>
            <w:r>
              <w:rPr>
                <w:rFonts w:hint="eastAsia" w:ascii="宋体" w:hAnsi="宋体" w:cs="宋体"/>
                <w:snapToGrid w:val="0"/>
                <w:kern w:val="0"/>
                <w:sz w:val="18"/>
                <w:szCs w:val="18"/>
              </w:rPr>
              <w:t>预计使用寿命（年）</w:t>
            </w:r>
          </w:p>
        </w:tc>
        <w:tc>
          <w:tcPr>
            <w:tcW w:w="2192" w:type="dxa"/>
            <w:tcBorders>
              <w:top w:val="single" w:color="auto" w:sz="12" w:space="0"/>
            </w:tcBorders>
            <w:vAlign w:val="center"/>
          </w:tcPr>
          <w:p>
            <w:pPr>
              <w:pStyle w:val="59"/>
              <w:adjustRightInd w:val="0"/>
              <w:snapToGrid w:val="0"/>
              <w:spacing w:after="0"/>
              <w:ind w:left="0" w:leftChars="0"/>
              <w:jc w:val="center"/>
              <w:rPr>
                <w:rFonts w:ascii="宋体" w:hAnsi="宋体" w:cs="Arial Narrow"/>
                <w:snapToGrid w:val="0"/>
                <w:kern w:val="0"/>
                <w:sz w:val="18"/>
                <w:szCs w:val="18"/>
              </w:rPr>
            </w:pPr>
            <w:r>
              <w:rPr>
                <w:rFonts w:hint="eastAsia" w:ascii="宋体" w:hAnsi="宋体" w:cs="宋体"/>
                <w:snapToGrid w:val="0"/>
                <w:kern w:val="0"/>
                <w:sz w:val="18"/>
                <w:szCs w:val="18"/>
              </w:rPr>
              <w:t>预计净残值率（</w:t>
            </w:r>
            <w:r>
              <w:rPr>
                <w:rFonts w:ascii="宋体" w:hAnsi="宋体" w:cs="宋体"/>
                <w:snapToGrid w:val="0"/>
                <w:kern w:val="0"/>
                <w:sz w:val="18"/>
                <w:szCs w:val="18"/>
              </w:rPr>
              <w:t>%</w:t>
            </w:r>
            <w:r>
              <w:rPr>
                <w:rFonts w:hint="eastAsia" w:ascii="宋体" w:hAnsi="宋体" w:cs="宋体"/>
                <w:snapToGrid w:val="0"/>
                <w:kern w:val="0"/>
                <w:sz w:val="18"/>
                <w:szCs w:val="18"/>
              </w:rPr>
              <w:t>）</w:t>
            </w:r>
          </w:p>
        </w:tc>
        <w:tc>
          <w:tcPr>
            <w:tcW w:w="2126" w:type="dxa"/>
            <w:tcBorders>
              <w:top w:val="single" w:color="auto" w:sz="12" w:space="0"/>
            </w:tcBorders>
            <w:vAlign w:val="center"/>
          </w:tcPr>
          <w:p>
            <w:pPr>
              <w:pStyle w:val="59"/>
              <w:adjustRightInd w:val="0"/>
              <w:snapToGrid w:val="0"/>
              <w:spacing w:after="0"/>
              <w:ind w:left="0" w:leftChars="0"/>
              <w:jc w:val="center"/>
              <w:rPr>
                <w:rFonts w:ascii="宋体" w:hAnsi="宋体" w:cs="Arial Narrow"/>
                <w:snapToGrid w:val="0"/>
                <w:kern w:val="0"/>
                <w:sz w:val="18"/>
                <w:szCs w:val="18"/>
              </w:rPr>
            </w:pPr>
            <w:r>
              <w:rPr>
                <w:rFonts w:hint="eastAsia" w:ascii="宋体" w:hAnsi="宋体" w:cs="宋体"/>
                <w:snapToGrid w:val="0"/>
                <w:kern w:val="0"/>
                <w:sz w:val="18"/>
                <w:szCs w:val="18"/>
              </w:rPr>
              <w:t>年折旧率（</w:t>
            </w:r>
            <w:r>
              <w:rPr>
                <w:rFonts w:ascii="宋体" w:hAnsi="宋体" w:cs="宋体"/>
                <w:snapToGrid w:val="0"/>
                <w:kern w:val="0"/>
                <w:sz w:val="18"/>
                <w:szCs w:val="18"/>
              </w:rPr>
              <w:t>%</w:t>
            </w:r>
            <w:r>
              <w:rPr>
                <w:rFonts w:hint="eastAsia" w:ascii="宋体" w:hAnsi="宋体" w:cs="宋体"/>
                <w:snapToGrid w:val="0"/>
                <w:kern w:val="0"/>
                <w:sz w:val="18"/>
                <w:szCs w:val="18"/>
              </w:rPr>
              <w:t>）</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340" w:hRule="atLeast"/>
          <w:jc w:val="center"/>
        </w:trPr>
        <w:tc>
          <w:tcPr>
            <w:tcW w:w="2326" w:type="dxa"/>
            <w:vAlign w:val="center"/>
          </w:tcPr>
          <w:p>
            <w:pPr>
              <w:pStyle w:val="59"/>
              <w:adjustRightInd w:val="0"/>
              <w:snapToGrid w:val="0"/>
              <w:spacing w:after="0"/>
              <w:ind w:left="0" w:leftChars="0"/>
              <w:rPr>
                <w:rFonts w:ascii="宋体" w:hAnsi="宋体" w:cs="Arial Narrow"/>
                <w:snapToGrid w:val="0"/>
                <w:kern w:val="0"/>
                <w:sz w:val="18"/>
                <w:szCs w:val="18"/>
              </w:rPr>
            </w:pPr>
            <w:r>
              <w:rPr>
                <w:rFonts w:hint="eastAsia" w:ascii="宋体" w:hAnsi="宋体" w:cs="宋体"/>
                <w:snapToGrid w:val="0"/>
                <w:kern w:val="0"/>
                <w:sz w:val="18"/>
                <w:szCs w:val="18"/>
              </w:rPr>
              <w:t>办公及电子设备</w:t>
            </w:r>
          </w:p>
        </w:tc>
        <w:tc>
          <w:tcPr>
            <w:tcW w:w="2245" w:type="dxa"/>
            <w:vAlign w:val="center"/>
          </w:tcPr>
          <w:p>
            <w:pPr>
              <w:pStyle w:val="59"/>
              <w:adjustRightInd w:val="0"/>
              <w:snapToGrid w:val="0"/>
              <w:spacing w:after="0"/>
              <w:ind w:left="0" w:leftChars="0"/>
              <w:jc w:val="center"/>
              <w:rPr>
                <w:rFonts w:cs="Arial Narrow" w:asciiTheme="majorEastAsia" w:hAnsiTheme="majorEastAsia" w:eastAsiaTheme="majorEastAsia"/>
                <w:snapToGrid w:val="0"/>
                <w:kern w:val="0"/>
                <w:sz w:val="18"/>
                <w:szCs w:val="18"/>
              </w:rPr>
            </w:pPr>
            <w:r>
              <w:rPr>
                <w:rFonts w:hint="eastAsia" w:cs="Arial Narrow" w:asciiTheme="majorEastAsia" w:hAnsiTheme="majorEastAsia" w:eastAsiaTheme="majorEastAsia"/>
                <w:snapToGrid w:val="0"/>
                <w:kern w:val="0"/>
                <w:sz w:val="18"/>
                <w:szCs w:val="18"/>
              </w:rPr>
              <w:t>6</w:t>
            </w:r>
          </w:p>
        </w:tc>
        <w:tc>
          <w:tcPr>
            <w:tcW w:w="2192" w:type="dxa"/>
            <w:vAlign w:val="center"/>
          </w:tcPr>
          <w:p>
            <w:pPr>
              <w:pStyle w:val="59"/>
              <w:adjustRightInd w:val="0"/>
              <w:snapToGrid w:val="0"/>
              <w:spacing w:after="0"/>
              <w:ind w:left="0" w:leftChars="0"/>
              <w:jc w:val="center"/>
              <w:rPr>
                <w:rFonts w:cs="Arial Narrow" w:asciiTheme="majorEastAsia" w:hAnsiTheme="majorEastAsia" w:eastAsiaTheme="majorEastAsia"/>
                <w:snapToGrid w:val="0"/>
                <w:kern w:val="0"/>
                <w:sz w:val="18"/>
                <w:szCs w:val="18"/>
              </w:rPr>
            </w:pPr>
            <w:r>
              <w:rPr>
                <w:rFonts w:cs="Arial Narrow" w:asciiTheme="majorEastAsia" w:hAnsiTheme="majorEastAsia" w:eastAsiaTheme="majorEastAsia"/>
                <w:snapToGrid w:val="0"/>
                <w:kern w:val="0"/>
                <w:sz w:val="18"/>
                <w:szCs w:val="18"/>
              </w:rPr>
              <w:t>5</w:t>
            </w:r>
          </w:p>
        </w:tc>
        <w:tc>
          <w:tcPr>
            <w:tcW w:w="2126" w:type="dxa"/>
            <w:vAlign w:val="center"/>
          </w:tcPr>
          <w:p>
            <w:pPr>
              <w:pStyle w:val="59"/>
              <w:adjustRightInd w:val="0"/>
              <w:snapToGrid w:val="0"/>
              <w:spacing w:after="0"/>
              <w:ind w:left="0" w:leftChars="0"/>
              <w:jc w:val="center"/>
              <w:rPr>
                <w:rFonts w:cs="Arial Narrow" w:asciiTheme="majorEastAsia" w:hAnsiTheme="majorEastAsia" w:eastAsiaTheme="majorEastAsia"/>
                <w:snapToGrid w:val="0"/>
                <w:kern w:val="0"/>
                <w:sz w:val="18"/>
                <w:szCs w:val="18"/>
              </w:rPr>
            </w:pPr>
            <w:r>
              <w:rPr>
                <w:rFonts w:hint="eastAsia" w:cs="Arial Narrow" w:asciiTheme="majorEastAsia" w:hAnsiTheme="majorEastAsia" w:eastAsiaTheme="majorEastAsia"/>
                <w:snapToGrid w:val="0"/>
                <w:kern w:val="0"/>
                <w:sz w:val="18"/>
                <w:szCs w:val="18"/>
              </w:rPr>
              <w:t>15.83</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340" w:hRule="atLeast"/>
          <w:jc w:val="center"/>
        </w:trPr>
        <w:tc>
          <w:tcPr>
            <w:tcW w:w="2326" w:type="dxa"/>
            <w:vAlign w:val="center"/>
          </w:tcPr>
          <w:p>
            <w:pPr>
              <w:pStyle w:val="59"/>
              <w:adjustRightInd w:val="0"/>
              <w:snapToGrid w:val="0"/>
              <w:spacing w:after="0"/>
              <w:ind w:left="0" w:leftChars="0"/>
              <w:rPr>
                <w:rFonts w:ascii="宋体" w:hAnsi="宋体" w:cs="Arial Narrow"/>
                <w:snapToGrid w:val="0"/>
                <w:kern w:val="0"/>
                <w:sz w:val="18"/>
                <w:szCs w:val="18"/>
              </w:rPr>
            </w:pPr>
            <w:r>
              <w:rPr>
                <w:rFonts w:hint="eastAsia" w:ascii="宋体" w:hAnsi="宋体" w:cs="宋体"/>
                <w:snapToGrid w:val="0"/>
                <w:kern w:val="0"/>
                <w:sz w:val="18"/>
                <w:szCs w:val="18"/>
              </w:rPr>
              <w:t>运输设备</w:t>
            </w:r>
          </w:p>
        </w:tc>
        <w:tc>
          <w:tcPr>
            <w:tcW w:w="2245" w:type="dxa"/>
            <w:vAlign w:val="center"/>
          </w:tcPr>
          <w:p>
            <w:pPr>
              <w:pStyle w:val="59"/>
              <w:adjustRightInd w:val="0"/>
              <w:snapToGrid w:val="0"/>
              <w:spacing w:after="0"/>
              <w:ind w:left="0" w:leftChars="0"/>
              <w:jc w:val="center"/>
              <w:rPr>
                <w:rFonts w:cs="Arial Narrow" w:asciiTheme="majorEastAsia" w:hAnsiTheme="majorEastAsia" w:eastAsiaTheme="majorEastAsia"/>
                <w:snapToGrid w:val="0"/>
                <w:kern w:val="0"/>
                <w:sz w:val="18"/>
                <w:szCs w:val="18"/>
              </w:rPr>
            </w:pPr>
            <w:r>
              <w:rPr>
                <w:rFonts w:hint="eastAsia" w:cs="Arial Narrow" w:asciiTheme="majorEastAsia" w:hAnsiTheme="majorEastAsia" w:eastAsiaTheme="majorEastAsia"/>
                <w:snapToGrid w:val="0"/>
                <w:kern w:val="0"/>
                <w:sz w:val="18"/>
                <w:szCs w:val="18"/>
              </w:rPr>
              <w:t>8</w:t>
            </w:r>
          </w:p>
        </w:tc>
        <w:tc>
          <w:tcPr>
            <w:tcW w:w="2192" w:type="dxa"/>
            <w:vAlign w:val="center"/>
          </w:tcPr>
          <w:p>
            <w:pPr>
              <w:pStyle w:val="59"/>
              <w:adjustRightInd w:val="0"/>
              <w:snapToGrid w:val="0"/>
              <w:spacing w:after="0"/>
              <w:ind w:left="0" w:leftChars="0"/>
              <w:jc w:val="center"/>
              <w:rPr>
                <w:rFonts w:cs="Arial Narrow" w:asciiTheme="majorEastAsia" w:hAnsiTheme="majorEastAsia" w:eastAsiaTheme="majorEastAsia"/>
                <w:snapToGrid w:val="0"/>
                <w:kern w:val="0"/>
                <w:sz w:val="18"/>
                <w:szCs w:val="18"/>
              </w:rPr>
            </w:pPr>
            <w:r>
              <w:rPr>
                <w:rFonts w:cs="Arial Narrow" w:asciiTheme="majorEastAsia" w:hAnsiTheme="majorEastAsia" w:eastAsiaTheme="majorEastAsia"/>
                <w:snapToGrid w:val="0"/>
                <w:kern w:val="0"/>
                <w:sz w:val="18"/>
                <w:szCs w:val="18"/>
              </w:rPr>
              <w:t>5</w:t>
            </w:r>
          </w:p>
        </w:tc>
        <w:tc>
          <w:tcPr>
            <w:tcW w:w="2126" w:type="dxa"/>
            <w:vAlign w:val="center"/>
          </w:tcPr>
          <w:p>
            <w:pPr>
              <w:pStyle w:val="59"/>
              <w:adjustRightInd w:val="0"/>
              <w:snapToGrid w:val="0"/>
              <w:spacing w:after="0"/>
              <w:ind w:left="0" w:leftChars="0"/>
              <w:jc w:val="center"/>
              <w:rPr>
                <w:rFonts w:cs="Arial Narrow" w:asciiTheme="majorEastAsia" w:hAnsiTheme="majorEastAsia" w:eastAsiaTheme="majorEastAsia"/>
                <w:snapToGrid w:val="0"/>
                <w:kern w:val="0"/>
                <w:sz w:val="18"/>
                <w:szCs w:val="18"/>
              </w:rPr>
            </w:pPr>
            <w:r>
              <w:rPr>
                <w:rFonts w:hint="eastAsia" w:cs="Arial Narrow" w:asciiTheme="majorEastAsia" w:hAnsiTheme="majorEastAsia" w:eastAsiaTheme="majorEastAsia"/>
                <w:snapToGrid w:val="0"/>
                <w:kern w:val="0"/>
                <w:sz w:val="18"/>
                <w:szCs w:val="18"/>
              </w:rPr>
              <w:t>11.88</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340" w:hRule="atLeast"/>
          <w:jc w:val="center"/>
        </w:trPr>
        <w:tc>
          <w:tcPr>
            <w:tcW w:w="2326" w:type="dxa"/>
            <w:vAlign w:val="center"/>
          </w:tcPr>
          <w:p>
            <w:pPr>
              <w:pStyle w:val="59"/>
              <w:adjustRightInd w:val="0"/>
              <w:snapToGrid w:val="0"/>
              <w:spacing w:after="0"/>
              <w:ind w:left="0" w:leftChars="0"/>
              <w:rPr>
                <w:rFonts w:ascii="宋体" w:hAnsi="宋体" w:cs="Arial Narrow"/>
                <w:snapToGrid w:val="0"/>
                <w:kern w:val="0"/>
                <w:sz w:val="18"/>
                <w:szCs w:val="18"/>
              </w:rPr>
            </w:pPr>
            <w:r>
              <w:rPr>
                <w:rFonts w:hint="eastAsia" w:ascii="宋体" w:hAnsi="宋体" w:cs="宋体"/>
                <w:snapToGrid w:val="0"/>
                <w:kern w:val="0"/>
                <w:sz w:val="18"/>
                <w:szCs w:val="18"/>
              </w:rPr>
              <w:t>专用设备</w:t>
            </w:r>
          </w:p>
        </w:tc>
        <w:tc>
          <w:tcPr>
            <w:tcW w:w="2245" w:type="dxa"/>
            <w:vAlign w:val="center"/>
          </w:tcPr>
          <w:p>
            <w:pPr>
              <w:pStyle w:val="59"/>
              <w:adjustRightInd w:val="0"/>
              <w:snapToGrid w:val="0"/>
              <w:spacing w:after="0"/>
              <w:ind w:left="0" w:leftChars="0"/>
              <w:jc w:val="center"/>
              <w:rPr>
                <w:rFonts w:cs="Arial Narrow" w:asciiTheme="majorEastAsia" w:hAnsiTheme="majorEastAsia" w:eastAsiaTheme="majorEastAsia"/>
                <w:snapToGrid w:val="0"/>
                <w:kern w:val="0"/>
                <w:sz w:val="18"/>
                <w:szCs w:val="18"/>
              </w:rPr>
            </w:pPr>
            <w:r>
              <w:rPr>
                <w:rFonts w:hint="eastAsia" w:cs="Arial Narrow" w:asciiTheme="majorEastAsia" w:hAnsiTheme="majorEastAsia" w:eastAsiaTheme="majorEastAsia"/>
                <w:snapToGrid w:val="0"/>
                <w:kern w:val="0"/>
                <w:sz w:val="18"/>
                <w:szCs w:val="18"/>
              </w:rPr>
              <w:t>1</w:t>
            </w:r>
            <w:r>
              <w:rPr>
                <w:rFonts w:cs="Arial Narrow" w:asciiTheme="majorEastAsia" w:hAnsiTheme="majorEastAsia" w:eastAsiaTheme="majorEastAsia"/>
                <w:snapToGrid w:val="0"/>
                <w:kern w:val="0"/>
                <w:sz w:val="18"/>
                <w:szCs w:val="18"/>
              </w:rPr>
              <w:t>5</w:t>
            </w:r>
          </w:p>
        </w:tc>
        <w:tc>
          <w:tcPr>
            <w:tcW w:w="2192" w:type="dxa"/>
            <w:vAlign w:val="center"/>
          </w:tcPr>
          <w:p>
            <w:pPr>
              <w:pStyle w:val="59"/>
              <w:adjustRightInd w:val="0"/>
              <w:snapToGrid w:val="0"/>
              <w:spacing w:after="0"/>
              <w:ind w:left="0" w:leftChars="0"/>
              <w:jc w:val="center"/>
              <w:rPr>
                <w:rFonts w:cs="Arial Narrow" w:asciiTheme="majorEastAsia" w:hAnsiTheme="majorEastAsia" w:eastAsiaTheme="majorEastAsia"/>
                <w:snapToGrid w:val="0"/>
                <w:kern w:val="0"/>
                <w:sz w:val="18"/>
                <w:szCs w:val="18"/>
              </w:rPr>
            </w:pPr>
            <w:r>
              <w:rPr>
                <w:rFonts w:cs="Arial Narrow" w:asciiTheme="majorEastAsia" w:hAnsiTheme="majorEastAsia" w:eastAsiaTheme="majorEastAsia"/>
                <w:snapToGrid w:val="0"/>
                <w:kern w:val="0"/>
                <w:sz w:val="18"/>
                <w:szCs w:val="18"/>
              </w:rPr>
              <w:t>5</w:t>
            </w:r>
          </w:p>
        </w:tc>
        <w:tc>
          <w:tcPr>
            <w:tcW w:w="2126" w:type="dxa"/>
            <w:vAlign w:val="center"/>
          </w:tcPr>
          <w:p>
            <w:pPr>
              <w:pStyle w:val="59"/>
              <w:adjustRightInd w:val="0"/>
              <w:snapToGrid w:val="0"/>
              <w:spacing w:after="0"/>
              <w:ind w:left="0" w:leftChars="0"/>
              <w:jc w:val="center"/>
              <w:rPr>
                <w:rFonts w:cs="Arial Narrow" w:asciiTheme="majorEastAsia" w:hAnsiTheme="majorEastAsia" w:eastAsiaTheme="majorEastAsia"/>
                <w:snapToGrid w:val="0"/>
                <w:kern w:val="0"/>
                <w:sz w:val="18"/>
                <w:szCs w:val="18"/>
              </w:rPr>
            </w:pPr>
            <w:r>
              <w:rPr>
                <w:rFonts w:hint="eastAsia" w:cs="Arial Narrow" w:asciiTheme="majorEastAsia" w:hAnsiTheme="majorEastAsia" w:eastAsiaTheme="majorEastAsia"/>
                <w:snapToGrid w:val="0"/>
                <w:kern w:val="0"/>
                <w:sz w:val="18"/>
                <w:szCs w:val="18"/>
              </w:rPr>
              <w:t>6.33</w:t>
            </w:r>
          </w:p>
        </w:tc>
      </w:tr>
    </w:tbl>
    <w:p>
      <w:pPr>
        <w:widowControl/>
        <w:spacing w:line="460" w:lineRule="atLeast"/>
        <w:ind w:firstLine="420" w:firstLineChars="200"/>
        <w:jc w:val="left"/>
        <w:rPr>
          <w:rFonts w:ascii="宋体" w:hAnsi="宋体" w:cs="宋体"/>
          <w:bCs/>
          <w:snapToGrid w:val="0"/>
          <w:kern w:val="0"/>
        </w:rPr>
      </w:pPr>
      <w:r>
        <w:rPr>
          <w:rFonts w:hint="eastAsia" w:ascii="宋体" w:hAnsi="宋体" w:cs="宋体"/>
          <w:bCs/>
          <w:snapToGrid w:val="0"/>
          <w:kern w:val="0"/>
        </w:rPr>
        <w:t>3、融资租入固定资产的认定依据、计价方法</w:t>
      </w:r>
    </w:p>
    <w:p>
      <w:pPr>
        <w:pStyle w:val="15"/>
        <w:snapToGrid w:val="0"/>
        <w:spacing w:line="460" w:lineRule="atLeast"/>
        <w:ind w:firstLine="420" w:firstLineChars="200"/>
        <w:rPr>
          <w:rFonts w:hAnsi="宋体"/>
          <w:snapToGrid w:val="0"/>
          <w:kern w:val="0"/>
        </w:rPr>
      </w:pPr>
      <w:r>
        <w:rPr>
          <w:rFonts w:hint="eastAsia" w:hAnsi="宋体"/>
          <w:snapToGrid w:val="0"/>
          <w:kern w:val="0"/>
        </w:rPr>
        <w:t>融资租入固定资产为实质上转移了与资产所有权有关的全部风险和报酬的租赁。融资租入固定资产初始计价为租赁期开始日租赁资产公允价值与最低租赁付款额现值较低者作为入账价值；融资租入固定资产后续计价采用与自有固定资产相一致的折旧政策计提折旧及减值准备。</w:t>
      </w:r>
    </w:p>
    <w:p>
      <w:pPr>
        <w:pStyle w:val="15"/>
        <w:numPr>
          <w:ilvl w:val="0"/>
          <w:numId w:val="4"/>
        </w:numPr>
        <w:tabs>
          <w:tab w:val="left" w:pos="851"/>
          <w:tab w:val="left" w:pos="1134"/>
        </w:tabs>
        <w:snapToGrid w:val="0"/>
        <w:spacing w:line="460" w:lineRule="atLeast"/>
        <w:ind w:left="0" w:firstLine="420" w:firstLineChars="200"/>
        <w:outlineLvl w:val="1"/>
        <w:rPr>
          <w:rFonts w:hAnsi="宋体"/>
        </w:rPr>
      </w:pPr>
      <w:r>
        <w:rPr>
          <w:rFonts w:hint="eastAsia" w:hAnsi="宋体"/>
        </w:rPr>
        <w:t>在建工程</w:t>
      </w:r>
    </w:p>
    <w:p>
      <w:pPr>
        <w:pStyle w:val="15"/>
        <w:snapToGrid w:val="0"/>
        <w:spacing w:line="460" w:lineRule="atLeast"/>
        <w:ind w:firstLine="420" w:firstLineChars="200"/>
        <w:rPr>
          <w:rFonts w:hAnsi="宋体"/>
          <w:snapToGrid w:val="0"/>
          <w:kern w:val="0"/>
        </w:rPr>
      </w:pPr>
      <w:r>
        <w:rPr>
          <w:rFonts w:hint="eastAsia" w:hAnsi="宋体"/>
          <w:snapToGrid w:val="0"/>
          <w:kern w:val="0"/>
        </w:rPr>
        <w:t>本公司在建工程分为自营方式建造和出包方式建造两种。在建工程在工程完工达到预定可使用状态时，结转固定资产。预定可使用状态的判断标准，应符合下列情况之一：固定资产的实体建造（包括安装）工作已经全部完成或实质上已经全部完成；已经试生产或试运行，并且其结果表明资产能够正常运行或能够稳定地生产出合格产品，或者试运行结果表明其能够正常运转或营业；该项建造的固定资产上的支出金额很少或者几乎不再发生；所购建的固定资产已经达到设计或合同要求，或与设计或合同要求基本相符。</w:t>
      </w:r>
    </w:p>
    <w:p>
      <w:pPr>
        <w:pStyle w:val="15"/>
        <w:numPr>
          <w:ilvl w:val="0"/>
          <w:numId w:val="4"/>
        </w:numPr>
        <w:tabs>
          <w:tab w:val="left" w:pos="851"/>
          <w:tab w:val="left" w:pos="1134"/>
        </w:tabs>
        <w:snapToGrid w:val="0"/>
        <w:spacing w:line="460" w:lineRule="atLeast"/>
        <w:ind w:left="0" w:firstLine="420" w:firstLineChars="200"/>
        <w:outlineLvl w:val="1"/>
        <w:rPr>
          <w:rFonts w:hAnsi="宋体"/>
        </w:rPr>
      </w:pPr>
      <w:r>
        <w:rPr>
          <w:rFonts w:hint="eastAsia" w:hAnsi="宋体"/>
        </w:rPr>
        <w:t>借款费用</w:t>
      </w:r>
    </w:p>
    <w:p>
      <w:pPr>
        <w:widowControl/>
        <w:spacing w:line="460" w:lineRule="atLeast"/>
        <w:ind w:firstLine="420" w:firstLineChars="200"/>
        <w:jc w:val="left"/>
        <w:rPr>
          <w:rFonts w:ascii="宋体" w:hAnsi="宋体" w:cs="宋体"/>
          <w:bCs/>
          <w:snapToGrid w:val="0"/>
          <w:kern w:val="0"/>
        </w:rPr>
      </w:pPr>
      <w:r>
        <w:rPr>
          <w:rFonts w:hint="eastAsia" w:ascii="宋体" w:hAnsi="宋体" w:cs="宋体"/>
          <w:bCs/>
          <w:snapToGrid w:val="0"/>
          <w:kern w:val="0"/>
        </w:rPr>
        <w:t>1、借款费用资本化的确认原则</w:t>
      </w:r>
    </w:p>
    <w:p>
      <w:pPr>
        <w:pStyle w:val="15"/>
        <w:snapToGrid w:val="0"/>
        <w:spacing w:line="460" w:lineRule="atLeast"/>
        <w:ind w:firstLine="420" w:firstLineChars="200"/>
        <w:rPr>
          <w:rFonts w:hAnsi="宋体"/>
          <w:snapToGrid w:val="0"/>
          <w:kern w:val="0"/>
        </w:rPr>
      </w:pPr>
      <w:r>
        <w:rPr>
          <w:rFonts w:hint="eastAsia" w:hAnsi="宋体"/>
          <w:snapToGrid w:val="0"/>
          <w:kern w:val="0"/>
        </w:rPr>
        <w:t>本公司发生的借款费用，可直接归属于符合资本化条件的资产的购建或者生产的，予以资本化，计入相关资产成本；其他借款费用，在发生时根据其发生额确认为费用，计入当期损益。符合资本化条件的资产，是指需要经过相当长时间的购建或者生产活动才能达到预定可使用或者可销售状态的固定资产、投资性房地产和存货等资产。</w:t>
      </w:r>
    </w:p>
    <w:p>
      <w:pPr>
        <w:widowControl/>
        <w:spacing w:line="460" w:lineRule="atLeast"/>
        <w:ind w:firstLine="420" w:firstLineChars="200"/>
        <w:jc w:val="left"/>
        <w:rPr>
          <w:rFonts w:ascii="宋体" w:hAnsi="宋体" w:cs="宋体"/>
          <w:bCs/>
          <w:snapToGrid w:val="0"/>
          <w:kern w:val="0"/>
        </w:rPr>
      </w:pPr>
      <w:r>
        <w:rPr>
          <w:rFonts w:hint="eastAsia" w:ascii="宋体" w:hAnsi="宋体" w:cs="宋体"/>
          <w:bCs/>
          <w:snapToGrid w:val="0"/>
          <w:kern w:val="0"/>
        </w:rPr>
        <w:t>2、资本化金额计算方法</w:t>
      </w:r>
    </w:p>
    <w:p>
      <w:pPr>
        <w:pStyle w:val="15"/>
        <w:snapToGrid w:val="0"/>
        <w:spacing w:line="460" w:lineRule="atLeast"/>
        <w:ind w:firstLine="420" w:firstLineChars="200"/>
        <w:rPr>
          <w:rFonts w:hAnsi="宋体"/>
          <w:snapToGrid w:val="0"/>
          <w:kern w:val="0"/>
        </w:rPr>
      </w:pPr>
      <w:r>
        <w:rPr>
          <w:rFonts w:hint="eastAsia" w:hAnsi="宋体"/>
          <w:snapToGrid w:val="0"/>
          <w:kern w:val="0"/>
        </w:rPr>
        <w:t>资本化期间，是指从借款费用开始资本化时点到停止资本化时点的期间。借款费用暂停资本化的期间不包括在内。在购建或生产过程中发生非正常中断、且中断时间连续超过</w:t>
      </w:r>
      <w:r>
        <w:rPr>
          <w:rFonts w:hAnsi="宋体"/>
          <w:snapToGrid w:val="0"/>
          <w:kern w:val="0"/>
        </w:rPr>
        <w:t>3</w:t>
      </w:r>
      <w:r>
        <w:rPr>
          <w:rFonts w:hint="eastAsia" w:hAnsi="宋体"/>
          <w:snapToGrid w:val="0"/>
          <w:kern w:val="0"/>
        </w:rPr>
        <w:t>个月的，应当暂停借款费用的资本化。</w:t>
      </w:r>
    </w:p>
    <w:p>
      <w:pPr>
        <w:pStyle w:val="15"/>
        <w:snapToGrid w:val="0"/>
        <w:spacing w:line="460" w:lineRule="atLeast"/>
        <w:ind w:firstLine="420" w:firstLineChars="200"/>
        <w:rPr>
          <w:rFonts w:hAnsi="宋体"/>
          <w:snapToGrid w:val="0"/>
          <w:kern w:val="0"/>
        </w:rPr>
      </w:pPr>
      <w:r>
        <w:rPr>
          <w:rFonts w:hint="eastAsia" w:hAnsi="宋体"/>
          <w:snapToGrid w:val="0"/>
          <w:kern w:val="0"/>
        </w:rPr>
        <w:t>借入专门借款，按照专门借款当期实际发生的利息费用，减去将尚未动用的借款资金存入银行取得的利息收入或进行暂时性投资取得的投资收益后的金额确定；占用一般借款按照累计资产支出超过专门借款部分的资产支出加权平均数乘以所占用一般借款的资本化率计算确定，资本化率为一般借款的加权平均利率；借款存在折价或溢价的，按照实际利率法确定每一会计期间应摊销的折价或溢价金额，调整每期利息金额。</w:t>
      </w:r>
    </w:p>
    <w:p>
      <w:pPr>
        <w:pStyle w:val="15"/>
        <w:snapToGrid w:val="0"/>
        <w:spacing w:line="460" w:lineRule="atLeast"/>
        <w:ind w:firstLine="420" w:firstLineChars="200"/>
        <w:rPr>
          <w:rFonts w:hAnsi="宋体"/>
          <w:snapToGrid w:val="0"/>
          <w:kern w:val="0"/>
        </w:rPr>
      </w:pPr>
      <w:r>
        <w:rPr>
          <w:rFonts w:hint="eastAsia" w:hAnsi="宋体"/>
          <w:snapToGrid w:val="0"/>
          <w:kern w:val="0"/>
        </w:rPr>
        <w:t>实际利率法是根据借款实际利率计算其摊余折价或溢价或利息费用的方法。其中实际利率是借款在预期存续期间的未来现金流量，折现为该借款当前账面价值所使用的利率。</w:t>
      </w:r>
    </w:p>
    <w:p>
      <w:pPr>
        <w:pStyle w:val="15"/>
        <w:numPr>
          <w:ilvl w:val="0"/>
          <w:numId w:val="4"/>
        </w:numPr>
        <w:tabs>
          <w:tab w:val="left" w:pos="1276"/>
        </w:tabs>
        <w:snapToGrid w:val="0"/>
        <w:spacing w:line="460" w:lineRule="atLeast"/>
        <w:ind w:left="0" w:firstLine="420" w:firstLineChars="200"/>
        <w:outlineLvl w:val="1"/>
        <w:rPr>
          <w:rFonts w:hAnsi="宋体"/>
        </w:rPr>
      </w:pPr>
      <w:r>
        <w:rPr>
          <w:rFonts w:hint="eastAsia" w:hAnsi="宋体"/>
        </w:rPr>
        <w:t>无形资产</w:t>
      </w:r>
    </w:p>
    <w:p>
      <w:pPr>
        <w:widowControl/>
        <w:spacing w:line="460" w:lineRule="atLeast"/>
        <w:ind w:firstLine="420" w:firstLineChars="200"/>
        <w:jc w:val="left"/>
        <w:rPr>
          <w:rFonts w:ascii="宋体" w:hAnsi="宋体" w:cs="宋体"/>
          <w:bCs/>
          <w:snapToGrid w:val="0"/>
          <w:kern w:val="0"/>
        </w:rPr>
      </w:pPr>
      <w:r>
        <w:rPr>
          <w:rFonts w:hint="eastAsia" w:ascii="宋体" w:hAnsi="宋体" w:cs="宋体"/>
          <w:bCs/>
          <w:snapToGrid w:val="0"/>
          <w:kern w:val="0"/>
        </w:rPr>
        <w:t>1、无形资产的计价方法</w:t>
      </w:r>
    </w:p>
    <w:p>
      <w:pPr>
        <w:pStyle w:val="15"/>
        <w:snapToGrid w:val="0"/>
        <w:spacing w:line="460" w:lineRule="atLeast"/>
        <w:ind w:firstLine="420" w:firstLineChars="200"/>
        <w:rPr>
          <w:rFonts w:hAnsi="宋体"/>
          <w:snapToGrid w:val="0"/>
          <w:kern w:val="0"/>
        </w:rPr>
      </w:pPr>
      <w:r>
        <w:rPr>
          <w:rFonts w:hint="eastAsia" w:hAnsi="宋体"/>
          <w:snapToGrid w:val="0"/>
          <w:kern w:val="0"/>
        </w:rPr>
        <w:t>本公司无形资产按照成本进行初始计量。购入的无形资产，按实际支付的价款和相关支出作为实际成本。投资者投入的无形资产，按投资合同或协议约定的价值确定实际成本，但合同或协议约定价值不公允的，按公允价值确定实际成本。自行开发的无形资产，其成本为达到预定用途前所发生的支出总额。</w:t>
      </w:r>
    </w:p>
    <w:p>
      <w:pPr>
        <w:pStyle w:val="15"/>
        <w:snapToGrid w:val="0"/>
        <w:spacing w:line="460" w:lineRule="atLeast"/>
        <w:ind w:firstLine="420" w:firstLineChars="200"/>
        <w:rPr>
          <w:rFonts w:hAnsi="宋体"/>
          <w:snapToGrid w:val="0"/>
          <w:kern w:val="0"/>
        </w:rPr>
      </w:pPr>
      <w:r>
        <w:rPr>
          <w:rFonts w:hint="eastAsia" w:hAnsi="宋体"/>
          <w:snapToGrid w:val="0"/>
          <w:kern w:val="0"/>
        </w:rPr>
        <w:t>本公司无形资产后续计量方法分别为：使用寿命有限无形资产采用直线法摊销，并在年度终了，对无形资产的使用寿命和摊销方法进行复核，如与原先估计数存在差异的，进行相应的调整；使用寿命不确定的无形资产不摊销，但在年度终了，对使用寿命进行复核，当有确凿证据表明其使用寿命是有限的，则估计其使用寿命，按直线法进行摊销。</w:t>
      </w:r>
    </w:p>
    <w:p>
      <w:pPr>
        <w:widowControl/>
        <w:spacing w:line="460" w:lineRule="atLeast"/>
        <w:ind w:firstLine="420" w:firstLineChars="200"/>
        <w:jc w:val="left"/>
        <w:rPr>
          <w:rFonts w:ascii="宋体" w:hAnsi="宋体" w:cs="宋体"/>
          <w:bCs/>
          <w:snapToGrid w:val="0"/>
          <w:kern w:val="0"/>
        </w:rPr>
      </w:pPr>
      <w:r>
        <w:rPr>
          <w:rFonts w:hint="eastAsia" w:ascii="宋体" w:hAnsi="宋体" w:cs="宋体"/>
          <w:bCs/>
          <w:snapToGrid w:val="0"/>
          <w:kern w:val="0"/>
        </w:rPr>
        <w:t>2、使用寿命不确定的判断依据</w:t>
      </w:r>
    </w:p>
    <w:p>
      <w:pPr>
        <w:pStyle w:val="15"/>
        <w:snapToGrid w:val="0"/>
        <w:spacing w:line="460" w:lineRule="atLeast"/>
        <w:ind w:firstLine="420" w:firstLineChars="200"/>
        <w:rPr>
          <w:rFonts w:hAnsi="宋体"/>
          <w:snapToGrid w:val="0"/>
          <w:kern w:val="0"/>
        </w:rPr>
      </w:pPr>
      <w:r>
        <w:rPr>
          <w:rFonts w:hint="eastAsia" w:hAnsi="宋体"/>
          <w:snapToGrid w:val="0"/>
          <w:kern w:val="0"/>
        </w:rPr>
        <w:t>本公司将无法预见该资产为公司带来经济利益的期限，或使用期限不确定等无形资产确定为使用寿命不确定的无形资产。使用寿命不确定的判断依据为：来源于合同性权利或其他法定权利，但合同规定或法律规定无明确使用年限；综合同行业情况或相关专家论证等，仍无法判断无形资产为公司带来经济利益的期限。</w:t>
      </w:r>
    </w:p>
    <w:p>
      <w:pPr>
        <w:pStyle w:val="15"/>
        <w:snapToGrid w:val="0"/>
        <w:spacing w:line="460" w:lineRule="atLeast"/>
        <w:ind w:firstLine="420" w:firstLineChars="200"/>
        <w:rPr>
          <w:rFonts w:hAnsi="宋体"/>
          <w:snapToGrid w:val="0"/>
          <w:kern w:val="0"/>
        </w:rPr>
      </w:pPr>
      <w:r>
        <w:rPr>
          <w:rFonts w:hint="eastAsia" w:hAnsi="宋体"/>
          <w:snapToGrid w:val="0"/>
          <w:kern w:val="0"/>
        </w:rPr>
        <w:t>每年年末，对使用寿命不确定无形资产使用寿命进行复核，主要采取自下而上的方式，由无形资产使用相关部门进行基础复核，评价使用寿命不确定判断依据是否存在变化等。</w:t>
      </w:r>
    </w:p>
    <w:p>
      <w:pPr>
        <w:widowControl/>
        <w:spacing w:line="460" w:lineRule="atLeast"/>
        <w:ind w:firstLine="420" w:firstLineChars="200"/>
        <w:jc w:val="left"/>
        <w:rPr>
          <w:rFonts w:ascii="宋体" w:hAnsi="宋体" w:cs="宋体"/>
          <w:bCs/>
          <w:snapToGrid w:val="0"/>
          <w:kern w:val="0"/>
        </w:rPr>
      </w:pPr>
      <w:r>
        <w:rPr>
          <w:rFonts w:hint="eastAsia" w:ascii="宋体" w:hAnsi="宋体" w:cs="宋体"/>
          <w:bCs/>
          <w:snapToGrid w:val="0"/>
          <w:kern w:val="0"/>
        </w:rPr>
        <w:t>3、内部研究开发项目的研究阶段和开发阶段具体标准，以及开发阶段支出符合资本化条件的具体标准</w:t>
      </w:r>
    </w:p>
    <w:p>
      <w:pPr>
        <w:pStyle w:val="15"/>
        <w:snapToGrid w:val="0"/>
        <w:spacing w:line="460" w:lineRule="atLeast"/>
        <w:ind w:firstLine="420" w:firstLineChars="200"/>
        <w:rPr>
          <w:rFonts w:hAnsi="宋体"/>
          <w:snapToGrid w:val="0"/>
          <w:kern w:val="0"/>
        </w:rPr>
      </w:pPr>
      <w:r>
        <w:rPr>
          <w:rFonts w:hint="eastAsia" w:hAnsi="宋体"/>
          <w:snapToGrid w:val="0"/>
          <w:kern w:val="0"/>
        </w:rPr>
        <w:t>内部研究开发项目研究阶段的支出，于发生时计入当期损益；开发阶段的支出，满足确认为无形资产条件的转入无形资产核算。</w:t>
      </w:r>
    </w:p>
    <w:p>
      <w:pPr>
        <w:adjustRightInd w:val="0"/>
        <w:snapToGrid w:val="0"/>
        <w:spacing w:line="460" w:lineRule="atLeast"/>
        <w:ind w:firstLine="420" w:firstLineChars="200"/>
        <w:textAlignment w:val="baseline"/>
        <w:rPr>
          <w:rFonts w:ascii="宋体" w:hAnsi="宋体" w:cs="宋体"/>
          <w:snapToGrid w:val="0"/>
          <w:kern w:val="0"/>
        </w:rPr>
      </w:pPr>
      <w:r>
        <w:rPr>
          <w:rFonts w:hint="eastAsia" w:ascii="宋体" w:hAnsi="宋体" w:cs="宋体"/>
          <w:snapToGrid w:val="0"/>
          <w:kern w:val="0"/>
        </w:rPr>
        <w:t>（</w:t>
      </w:r>
      <w:r>
        <w:rPr>
          <w:rFonts w:ascii="宋体" w:hAnsi="宋体" w:cs="宋体"/>
          <w:snapToGrid w:val="0"/>
          <w:kern w:val="0"/>
        </w:rPr>
        <w:t>1）完成该无形资产以使其能够使用或出售在技术上具有可行性；</w:t>
      </w:r>
    </w:p>
    <w:p>
      <w:pPr>
        <w:adjustRightInd w:val="0"/>
        <w:snapToGrid w:val="0"/>
        <w:spacing w:line="460" w:lineRule="atLeast"/>
        <w:ind w:firstLine="420" w:firstLineChars="200"/>
        <w:textAlignment w:val="baseline"/>
        <w:rPr>
          <w:rFonts w:ascii="宋体" w:hAnsi="宋体" w:cs="宋体"/>
          <w:snapToGrid w:val="0"/>
          <w:kern w:val="0"/>
        </w:rPr>
      </w:pPr>
      <w:r>
        <w:rPr>
          <w:rFonts w:hint="eastAsia" w:ascii="宋体" w:hAnsi="宋体" w:cs="宋体"/>
          <w:snapToGrid w:val="0"/>
          <w:kern w:val="0"/>
        </w:rPr>
        <w:t>（</w:t>
      </w:r>
      <w:r>
        <w:rPr>
          <w:rFonts w:ascii="宋体" w:hAnsi="宋体" w:cs="宋体"/>
          <w:snapToGrid w:val="0"/>
          <w:kern w:val="0"/>
        </w:rPr>
        <w:t>2）具有完成该无形资产并使用或出售的意图；</w:t>
      </w:r>
    </w:p>
    <w:p>
      <w:pPr>
        <w:adjustRightInd w:val="0"/>
        <w:snapToGrid w:val="0"/>
        <w:spacing w:line="460" w:lineRule="atLeast"/>
        <w:ind w:firstLine="420" w:firstLineChars="200"/>
        <w:textAlignment w:val="baseline"/>
        <w:rPr>
          <w:rFonts w:ascii="宋体" w:hAnsi="宋体" w:cs="宋体"/>
          <w:snapToGrid w:val="0"/>
          <w:kern w:val="0"/>
        </w:rPr>
      </w:pPr>
      <w:r>
        <w:rPr>
          <w:rFonts w:hint="eastAsia" w:ascii="宋体" w:hAnsi="宋体" w:cs="宋体"/>
          <w:snapToGrid w:val="0"/>
          <w:kern w:val="0"/>
        </w:rPr>
        <w:t>（</w:t>
      </w:r>
      <w:r>
        <w:rPr>
          <w:rFonts w:ascii="宋体" w:hAnsi="宋体" w:cs="宋体"/>
          <w:snapToGrid w:val="0"/>
          <w:kern w:val="0"/>
        </w:rPr>
        <w:t>3）运用该无形资产生产的产品存在市场或无形资产自身存在市场；</w:t>
      </w:r>
    </w:p>
    <w:p>
      <w:pPr>
        <w:adjustRightInd w:val="0"/>
        <w:snapToGrid w:val="0"/>
        <w:spacing w:line="460" w:lineRule="atLeast"/>
        <w:ind w:firstLine="420" w:firstLineChars="200"/>
        <w:textAlignment w:val="baseline"/>
        <w:rPr>
          <w:rFonts w:ascii="宋体" w:hAnsi="宋体" w:cs="宋体"/>
          <w:snapToGrid w:val="0"/>
          <w:kern w:val="0"/>
        </w:rPr>
      </w:pPr>
      <w:r>
        <w:rPr>
          <w:rFonts w:hint="eastAsia" w:ascii="宋体" w:hAnsi="宋体" w:cs="宋体"/>
          <w:snapToGrid w:val="0"/>
          <w:kern w:val="0"/>
        </w:rPr>
        <w:t>（</w:t>
      </w:r>
      <w:r>
        <w:rPr>
          <w:rFonts w:ascii="宋体" w:hAnsi="宋体" w:cs="宋体"/>
          <w:snapToGrid w:val="0"/>
          <w:kern w:val="0"/>
        </w:rPr>
        <w:t>4）有足够的技术、财务资源和其他资源支持，以完成该无形资产的开发，并有能力使用或出售该无形资产；</w:t>
      </w:r>
    </w:p>
    <w:p>
      <w:pPr>
        <w:adjustRightInd w:val="0"/>
        <w:snapToGrid w:val="0"/>
        <w:spacing w:line="460" w:lineRule="atLeast"/>
        <w:ind w:firstLine="420" w:firstLineChars="200"/>
        <w:textAlignment w:val="baseline"/>
        <w:rPr>
          <w:rFonts w:ascii="宋体" w:hAnsi="宋体" w:cs="宋体"/>
          <w:snapToGrid w:val="0"/>
          <w:kern w:val="0"/>
        </w:rPr>
      </w:pPr>
      <w:r>
        <w:rPr>
          <w:rFonts w:hint="eastAsia" w:ascii="宋体" w:hAnsi="宋体" w:cs="宋体"/>
          <w:snapToGrid w:val="0"/>
          <w:kern w:val="0"/>
        </w:rPr>
        <w:t>（</w:t>
      </w:r>
      <w:r>
        <w:rPr>
          <w:rFonts w:ascii="宋体" w:hAnsi="宋体" w:cs="宋体"/>
          <w:snapToGrid w:val="0"/>
          <w:kern w:val="0"/>
        </w:rPr>
        <w:t>5）归属于该无形资产开发阶段的支出能够可靠地计量。</w:t>
      </w:r>
    </w:p>
    <w:p>
      <w:pPr>
        <w:adjustRightInd w:val="0"/>
        <w:snapToGrid w:val="0"/>
        <w:spacing w:line="460" w:lineRule="atLeast"/>
        <w:ind w:firstLine="420" w:firstLineChars="200"/>
        <w:textAlignment w:val="baseline"/>
        <w:rPr>
          <w:rFonts w:ascii="宋体" w:hAnsi="宋体" w:cs="宋体"/>
          <w:snapToGrid w:val="0"/>
          <w:kern w:val="0"/>
        </w:rPr>
      </w:pPr>
      <w:r>
        <w:rPr>
          <w:rFonts w:hint="eastAsia" w:ascii="宋体" w:hAnsi="宋体" w:cs="宋体"/>
          <w:snapToGrid w:val="0"/>
          <w:kern w:val="0"/>
        </w:rPr>
        <w:t>前期已计入损益的开发支出不在以后期间确认为资产。已资本化的开发阶段的支出在资产负债表上列示为开发支出，自该项目达到预定可使用状态之日起转为无形资产。</w:t>
      </w:r>
    </w:p>
    <w:p>
      <w:pPr>
        <w:adjustRightInd w:val="0"/>
        <w:snapToGrid w:val="0"/>
        <w:spacing w:line="460" w:lineRule="atLeast"/>
        <w:ind w:firstLine="420" w:firstLineChars="200"/>
        <w:textAlignment w:val="baseline"/>
        <w:rPr>
          <w:rFonts w:ascii="宋体" w:hAnsi="宋体" w:cs="宋体"/>
          <w:snapToGrid w:val="0"/>
          <w:kern w:val="0"/>
        </w:rPr>
      </w:pPr>
      <w:r>
        <w:rPr>
          <w:rFonts w:hint="eastAsia" w:ascii="宋体" w:hAnsi="宋体" w:cs="宋体"/>
          <w:snapToGrid w:val="0"/>
          <w:kern w:val="0"/>
        </w:rPr>
        <w:t>划分内部研究开发项目的研究阶段和开发阶段的具体标准：为获取新的技术和知识等进行的有计划的调查阶段，应确定为研究阶段，该阶段具有计划性和探索性等特点；在进行商业性生产或使用前，将研究成果或其他知识应用于某项计划或设计，以生产出新的或具有实质性改进的材料、装置、产品等阶段，应确定为开发阶段，该阶段具有针对性和形成成果的可能性较大等特点。</w:t>
      </w:r>
    </w:p>
    <w:p>
      <w:pPr>
        <w:pStyle w:val="15"/>
        <w:numPr>
          <w:ilvl w:val="0"/>
          <w:numId w:val="4"/>
        </w:numPr>
        <w:tabs>
          <w:tab w:val="left" w:pos="1276"/>
          <w:tab w:val="left" w:pos="1418"/>
        </w:tabs>
        <w:snapToGrid w:val="0"/>
        <w:spacing w:line="460" w:lineRule="atLeast"/>
        <w:ind w:left="0" w:firstLine="420" w:firstLineChars="200"/>
        <w:outlineLvl w:val="1"/>
        <w:rPr>
          <w:rFonts w:hAnsi="宋体"/>
        </w:rPr>
      </w:pPr>
      <w:r>
        <w:rPr>
          <w:rFonts w:hint="eastAsia" w:hAnsi="宋体"/>
        </w:rPr>
        <w:t>长期资产减值</w:t>
      </w:r>
    </w:p>
    <w:p>
      <w:pPr>
        <w:spacing w:line="460" w:lineRule="atLeast"/>
        <w:ind w:firstLine="420" w:firstLineChars="200"/>
        <w:rPr>
          <w:rFonts w:ascii="宋体" w:hAnsi="宋体"/>
          <w:snapToGrid w:val="0"/>
          <w:kern w:val="0"/>
        </w:rPr>
      </w:pPr>
      <w:r>
        <w:rPr>
          <w:rFonts w:hint="eastAsia" w:ascii="宋体" w:hAnsi="宋体"/>
          <w:snapToGrid w:val="0"/>
          <w:kern w:val="0"/>
        </w:rPr>
        <w:t>长期股权投资、采用成本模式计量的投资性房地产、固定资产、在建工程、采用成本模式计量的生产性生物资产、油气资产、无形资产、商誉等长期资产于资产负债表日存在减值迹象的，进行减值测试。减值测试结果表明资产的可收回金额低于其账面价值的，按其差额计提减值准备并计入减值损失。</w:t>
      </w:r>
    </w:p>
    <w:p>
      <w:pPr>
        <w:spacing w:line="460" w:lineRule="atLeast"/>
        <w:ind w:firstLine="420" w:firstLineChars="200"/>
        <w:rPr>
          <w:rFonts w:ascii="宋体" w:hAnsi="宋体"/>
          <w:snapToGrid w:val="0"/>
          <w:kern w:val="0"/>
        </w:rPr>
      </w:pPr>
      <w:r>
        <w:rPr>
          <w:rFonts w:hint="eastAsia" w:ascii="宋体" w:hAnsi="宋体"/>
          <w:snapToGrid w:val="0"/>
          <w:kern w:val="0"/>
        </w:rPr>
        <w:t>可收回金额为资产的公允价值减去处置费用后的净额与资产预计未来现金流量的现值两者之间的较高者。资产减值准备按单项资产为基础计算并确认，如果难以对单项资产的可收回金额进行估计的，以该资产所属的资产组确定资产组的可收回金额。资产组是能够独立产生现金流入的最小资产组合。</w:t>
      </w:r>
    </w:p>
    <w:p>
      <w:pPr>
        <w:spacing w:line="460" w:lineRule="atLeast"/>
        <w:ind w:firstLine="420" w:firstLineChars="200"/>
        <w:rPr>
          <w:rFonts w:ascii="宋体" w:hAnsi="宋体"/>
          <w:snapToGrid w:val="0"/>
          <w:kern w:val="0"/>
        </w:rPr>
      </w:pPr>
      <w:r>
        <w:rPr>
          <w:rFonts w:hint="eastAsia" w:ascii="宋体" w:hAnsi="宋体"/>
          <w:snapToGrid w:val="0"/>
          <w:kern w:val="0"/>
        </w:rPr>
        <w:t>在财务报表中单独列示的商誉，无论是否存在减值迹象，至少每年进行减值测试。减值测试时，商誉的账面价值分摊至预期从企业合并的协同效应中受益的资产组或资产组组合。测试结果表明包含分摊的商誉的资产组或资产组组合的可收回金额低于其账面价值的，确认相应的减值损失。减值损失金额先抵减分摊至该资产组或资产组组合的商誉的账面价值，再根据资产组或资产组组合中除商誉以外的其他各项资产的账面价值所占比重，按比例抵减其他各项资产的账面价值。</w:t>
      </w:r>
    </w:p>
    <w:p>
      <w:pPr>
        <w:spacing w:line="460" w:lineRule="atLeast"/>
        <w:ind w:firstLine="420" w:firstLineChars="200"/>
        <w:rPr>
          <w:rFonts w:ascii="宋体" w:hAnsi="宋体"/>
          <w:snapToGrid w:val="0"/>
          <w:kern w:val="0"/>
        </w:rPr>
      </w:pPr>
      <w:r>
        <w:rPr>
          <w:rFonts w:hint="eastAsia" w:ascii="宋体" w:hAnsi="宋体"/>
          <w:snapToGrid w:val="0"/>
          <w:kern w:val="0"/>
        </w:rPr>
        <w:t>上述资产减值损失一经确认，以后期间不予转回价值得以恢复的部分。</w:t>
      </w:r>
    </w:p>
    <w:p>
      <w:pPr>
        <w:pStyle w:val="15"/>
        <w:numPr>
          <w:ilvl w:val="0"/>
          <w:numId w:val="4"/>
        </w:numPr>
        <w:tabs>
          <w:tab w:val="left" w:pos="1276"/>
        </w:tabs>
        <w:snapToGrid w:val="0"/>
        <w:spacing w:line="460" w:lineRule="atLeast"/>
        <w:ind w:left="0" w:firstLine="420" w:firstLineChars="200"/>
        <w:outlineLvl w:val="1"/>
        <w:rPr>
          <w:rFonts w:hAnsi="宋体"/>
        </w:rPr>
      </w:pPr>
      <w:r>
        <w:rPr>
          <w:rFonts w:hint="eastAsia" w:hAnsi="宋体"/>
        </w:rPr>
        <w:t>长期待摊费用</w:t>
      </w:r>
    </w:p>
    <w:p>
      <w:pPr>
        <w:pStyle w:val="15"/>
        <w:snapToGrid w:val="0"/>
        <w:spacing w:line="460" w:lineRule="atLeast"/>
        <w:ind w:firstLine="420" w:firstLineChars="200"/>
        <w:rPr>
          <w:rFonts w:hAnsi="宋体"/>
          <w:snapToGrid w:val="0"/>
          <w:kern w:val="0"/>
        </w:rPr>
      </w:pPr>
      <w:r>
        <w:rPr>
          <w:rFonts w:hint="eastAsia" w:hAnsi="宋体"/>
          <w:snapToGrid w:val="0"/>
          <w:kern w:val="0"/>
        </w:rPr>
        <w:t>本公司长期待摊费用是指已经支出，但受益期限在一年以上（不含一年）的各项费用。长期待摊费用按费用项目的受益期限分期摊销。若长期待摊的费用项目不能使以后会计期间受益，则将尚未摊销的该项目的摊余价值全部转入当期损益。</w:t>
      </w:r>
    </w:p>
    <w:p>
      <w:pPr>
        <w:pStyle w:val="15"/>
        <w:numPr>
          <w:ilvl w:val="0"/>
          <w:numId w:val="4"/>
        </w:numPr>
        <w:tabs>
          <w:tab w:val="left" w:pos="1276"/>
        </w:tabs>
        <w:snapToGrid w:val="0"/>
        <w:spacing w:line="460" w:lineRule="atLeast"/>
        <w:ind w:left="0" w:firstLine="420" w:firstLineChars="200"/>
        <w:outlineLvl w:val="1"/>
        <w:rPr>
          <w:rFonts w:hAnsi="宋体"/>
        </w:rPr>
      </w:pPr>
      <w:r>
        <w:rPr>
          <w:rFonts w:hint="eastAsia" w:hAnsi="宋体"/>
        </w:rPr>
        <w:t>职工薪酬</w:t>
      </w:r>
    </w:p>
    <w:p>
      <w:pPr>
        <w:pStyle w:val="15"/>
        <w:snapToGrid w:val="0"/>
        <w:spacing w:line="460" w:lineRule="atLeast"/>
        <w:ind w:firstLine="420" w:firstLineChars="200"/>
        <w:rPr>
          <w:rFonts w:hAnsi="宋体"/>
          <w:snapToGrid w:val="0"/>
          <w:kern w:val="0"/>
        </w:rPr>
      </w:pPr>
      <w:r>
        <w:rPr>
          <w:rFonts w:hint="eastAsia" w:hAnsi="宋体"/>
          <w:snapToGrid w:val="0"/>
          <w:kern w:val="0"/>
        </w:rPr>
        <w:t>职工薪酬，是指企业为获得职工提供的服务或解除劳动关系而给予的各种形式的报酬或补偿。职工薪酬主要包括短期薪酬、离职后福利、辞退福利和其他长期职工福利。</w:t>
      </w:r>
    </w:p>
    <w:p>
      <w:pPr>
        <w:pStyle w:val="15"/>
        <w:snapToGrid w:val="0"/>
        <w:spacing w:line="460" w:lineRule="atLeast"/>
        <w:ind w:firstLine="420" w:firstLineChars="200"/>
        <w:rPr>
          <w:rFonts w:hAnsi="宋体"/>
          <w:snapToGrid w:val="0"/>
          <w:kern w:val="0"/>
        </w:rPr>
      </w:pPr>
      <w:r>
        <w:rPr>
          <w:rFonts w:hint="eastAsia" w:hAnsi="宋体"/>
          <w:snapToGrid w:val="0"/>
          <w:kern w:val="0"/>
        </w:rPr>
        <w:t>1、短期薪酬</w:t>
      </w:r>
    </w:p>
    <w:p>
      <w:pPr>
        <w:pStyle w:val="15"/>
        <w:snapToGrid w:val="0"/>
        <w:spacing w:line="460" w:lineRule="atLeast"/>
        <w:ind w:firstLine="420" w:firstLineChars="200"/>
        <w:rPr>
          <w:rFonts w:hAnsi="宋体"/>
          <w:snapToGrid w:val="0"/>
          <w:kern w:val="0"/>
        </w:rPr>
      </w:pPr>
      <w:r>
        <w:rPr>
          <w:rFonts w:hint="eastAsia" w:hAnsi="宋体"/>
          <w:snapToGrid w:val="0"/>
          <w:kern w:val="0"/>
        </w:rPr>
        <w:t>在职工为本公司提供服务的会计期间，将实际发生的短期薪酬确认为负债，并计入当期损益，其他会计准则要求或允许计入资产成本的除外。本公司发生的职工福利费，在实际发生时根据实际发生额计入当期损益或相关资产成本。职工福利费为非货币性福利的，按照公允价值计量。企业为职工缴纳的医疗保险费、工伤保险费、生育保险费等社会保险费和住房公积金，以及按规定提取的工会经费和职工教育经费，在职工提供服务的会计期间，根据规定的计提基础和计提比例计算确定相应的职工薪酬金额，并确认相应负债，计入当期损益或相关资产成本。</w:t>
      </w:r>
    </w:p>
    <w:p>
      <w:pPr>
        <w:pStyle w:val="15"/>
        <w:snapToGrid w:val="0"/>
        <w:spacing w:line="460" w:lineRule="atLeast"/>
        <w:ind w:firstLine="420" w:firstLineChars="200"/>
        <w:rPr>
          <w:rFonts w:hAnsi="宋体"/>
          <w:snapToGrid w:val="0"/>
          <w:kern w:val="0"/>
        </w:rPr>
      </w:pPr>
      <w:r>
        <w:rPr>
          <w:rFonts w:hint="eastAsia" w:hAnsi="宋体"/>
          <w:snapToGrid w:val="0"/>
          <w:kern w:val="0"/>
        </w:rPr>
        <w:t>2、离职后福利</w:t>
      </w:r>
    </w:p>
    <w:p>
      <w:pPr>
        <w:pStyle w:val="15"/>
        <w:snapToGrid w:val="0"/>
        <w:spacing w:line="460" w:lineRule="atLeast"/>
        <w:ind w:firstLine="420" w:firstLineChars="200"/>
        <w:rPr>
          <w:rFonts w:hAnsi="宋体"/>
          <w:snapToGrid w:val="0"/>
          <w:kern w:val="0"/>
        </w:rPr>
      </w:pPr>
      <w:r>
        <w:rPr>
          <w:rFonts w:hint="eastAsia" w:hAnsi="宋体"/>
          <w:snapToGrid w:val="0"/>
          <w:kern w:val="0"/>
        </w:rPr>
        <w:t>本公司在职工提供服务的会计期间，根据设定提存计划计算的应缴存金额确认为负债，并计入当期损益或相关资产成本。根据预期累计福利单位法确定的公式将设定受益计划产生的福利义务归属于职工提供服务的期间，并计入当期损益或相关资产成本。</w:t>
      </w:r>
    </w:p>
    <w:p>
      <w:pPr>
        <w:pStyle w:val="15"/>
        <w:snapToGrid w:val="0"/>
        <w:spacing w:line="460" w:lineRule="atLeast"/>
        <w:ind w:firstLine="420" w:firstLineChars="200"/>
        <w:rPr>
          <w:rFonts w:hAnsi="宋体"/>
          <w:snapToGrid w:val="0"/>
          <w:kern w:val="0"/>
        </w:rPr>
      </w:pPr>
      <w:r>
        <w:rPr>
          <w:rFonts w:hint="eastAsia" w:hAnsi="宋体"/>
          <w:snapToGrid w:val="0"/>
          <w:kern w:val="0"/>
        </w:rPr>
        <w:t>3、辞退福利</w:t>
      </w:r>
    </w:p>
    <w:p>
      <w:pPr>
        <w:pStyle w:val="15"/>
        <w:snapToGrid w:val="0"/>
        <w:spacing w:line="460" w:lineRule="atLeast"/>
        <w:ind w:firstLine="420" w:firstLineChars="200"/>
        <w:rPr>
          <w:rFonts w:hAnsi="宋体"/>
          <w:snapToGrid w:val="0"/>
          <w:kern w:val="0"/>
        </w:rPr>
      </w:pPr>
      <w:r>
        <w:rPr>
          <w:rFonts w:hint="eastAsia" w:hAnsi="宋体"/>
          <w:snapToGrid w:val="0"/>
          <w:kern w:val="0"/>
        </w:rPr>
        <w:t>本公司向职工提供辞退福利时，在下列两者孰早日确认辞退福利产生的职工薪酬负债，并计入当期损益：本公司不能单方面撤回因解除劳动关系计划或裁减建议所提供的辞退福利时；本公司确认与涉及支付辞退福利的重组相关的成本或费用时。</w:t>
      </w:r>
    </w:p>
    <w:p>
      <w:pPr>
        <w:pStyle w:val="15"/>
        <w:snapToGrid w:val="0"/>
        <w:spacing w:line="460" w:lineRule="atLeast"/>
        <w:ind w:firstLine="420" w:firstLineChars="200"/>
        <w:rPr>
          <w:rFonts w:hAnsi="宋体"/>
          <w:snapToGrid w:val="0"/>
          <w:kern w:val="0"/>
        </w:rPr>
      </w:pPr>
      <w:r>
        <w:rPr>
          <w:rFonts w:hint="eastAsia" w:hAnsi="宋体"/>
          <w:snapToGrid w:val="0"/>
          <w:kern w:val="0"/>
        </w:rPr>
        <w:t>4、其他长期职工福利</w:t>
      </w:r>
    </w:p>
    <w:p>
      <w:pPr>
        <w:pStyle w:val="15"/>
        <w:snapToGrid w:val="0"/>
        <w:spacing w:line="460" w:lineRule="atLeast"/>
        <w:ind w:firstLine="420" w:firstLineChars="200"/>
        <w:rPr>
          <w:rFonts w:hAnsi="宋体"/>
          <w:snapToGrid w:val="0"/>
          <w:kern w:val="0"/>
        </w:rPr>
      </w:pPr>
      <w:r>
        <w:rPr>
          <w:rFonts w:hint="eastAsia" w:hAnsi="宋体"/>
          <w:snapToGrid w:val="0"/>
          <w:kern w:val="0"/>
        </w:rPr>
        <w:t>本公司向职工提供的其他长期职工福利，符合设定提存计划条件的，应当按照有关设定提存计划的规定进行处理；除此外，根据设定受益计划的有关规定，确认和计量其他长期职工福利净负债或净资产。</w:t>
      </w:r>
    </w:p>
    <w:p>
      <w:pPr>
        <w:pStyle w:val="15"/>
        <w:numPr>
          <w:ilvl w:val="0"/>
          <w:numId w:val="4"/>
        </w:numPr>
        <w:tabs>
          <w:tab w:val="left" w:pos="1276"/>
        </w:tabs>
        <w:snapToGrid w:val="0"/>
        <w:spacing w:line="460" w:lineRule="atLeast"/>
        <w:ind w:left="0" w:firstLine="420" w:firstLineChars="200"/>
        <w:outlineLvl w:val="1"/>
        <w:rPr>
          <w:rFonts w:hAnsi="宋体"/>
        </w:rPr>
      </w:pPr>
      <w:r>
        <w:rPr>
          <w:rFonts w:hint="eastAsia" w:hAnsi="宋体"/>
        </w:rPr>
        <w:t>收入</w:t>
      </w:r>
    </w:p>
    <w:p>
      <w:pPr>
        <w:adjustRightInd w:val="0"/>
        <w:snapToGrid w:val="0"/>
        <w:spacing w:line="460" w:lineRule="atLeast"/>
        <w:ind w:firstLine="420" w:firstLineChars="200"/>
        <w:rPr>
          <w:rFonts w:hAnsi="宋体"/>
        </w:rPr>
      </w:pPr>
      <w:r>
        <w:rPr>
          <w:rFonts w:hint="eastAsia" w:ascii="宋体" w:hAnsi="宋体"/>
        </w:rPr>
        <w:t>本公司的营业收入主要为销售商品收入，收入确认原则如下：</w:t>
      </w:r>
    </w:p>
    <w:p>
      <w:pPr>
        <w:adjustRightInd w:val="0"/>
        <w:snapToGrid w:val="0"/>
        <w:spacing w:line="460" w:lineRule="atLeast"/>
        <w:ind w:firstLine="420" w:firstLineChars="200"/>
        <w:rPr>
          <w:rFonts w:ascii="宋体" w:hAnsi="宋体"/>
        </w:rPr>
      </w:pPr>
      <w:r>
        <w:rPr>
          <w:rFonts w:hint="eastAsia" w:ascii="宋体" w:hAnsi="宋体"/>
        </w:rPr>
        <w:t>本公司在已将商品所有权上的主要风险和报酬转移给购货方、本公司既没有保留通常与所有权相联系的继续管理权、也没有对已售出的商品实施有效控制、收入的金额能够可靠地计量、相关的经济利益很可能流入企业、相关的已发生或将发生的成本能够可靠地计量时，确认销售商品收入的实现。</w:t>
      </w:r>
    </w:p>
    <w:p>
      <w:pPr>
        <w:pStyle w:val="15"/>
        <w:snapToGrid w:val="0"/>
        <w:spacing w:line="460" w:lineRule="atLeast"/>
        <w:ind w:firstLine="420" w:firstLineChars="200"/>
        <w:rPr>
          <w:rFonts w:hAnsi="宋体"/>
          <w:bCs/>
          <w:snapToGrid w:val="0"/>
          <w:kern w:val="0"/>
        </w:rPr>
      </w:pPr>
      <w:r>
        <w:rPr>
          <w:rFonts w:hint="eastAsia" w:hAnsi="宋体"/>
          <w:bCs/>
          <w:snapToGrid w:val="0"/>
          <w:kern w:val="0"/>
        </w:rPr>
        <w:t>1、政府补助类型</w:t>
      </w:r>
    </w:p>
    <w:p>
      <w:pPr>
        <w:pStyle w:val="15"/>
        <w:snapToGrid w:val="0"/>
        <w:spacing w:line="460" w:lineRule="atLeast"/>
        <w:ind w:firstLine="420" w:firstLineChars="200"/>
        <w:rPr>
          <w:rFonts w:hAnsi="宋体"/>
          <w:snapToGrid w:val="0"/>
          <w:kern w:val="0"/>
        </w:rPr>
      </w:pPr>
      <w:r>
        <w:rPr>
          <w:rFonts w:hint="eastAsia" w:hAnsi="宋体"/>
          <w:snapToGrid w:val="0"/>
          <w:kern w:val="0"/>
        </w:rPr>
        <w:t>政府补助是指本公司从政府无偿取得的货币性资产或非货币性资产（但不包括政府作为所有者投入的资本），主要划分为与资产相关的政府补助和与收益相关的政府补助两类型。</w:t>
      </w:r>
    </w:p>
    <w:p>
      <w:pPr>
        <w:pStyle w:val="15"/>
        <w:snapToGrid w:val="0"/>
        <w:spacing w:line="460" w:lineRule="atLeast"/>
        <w:ind w:firstLine="420" w:firstLineChars="200"/>
        <w:rPr>
          <w:rFonts w:hAnsi="宋体"/>
          <w:bCs/>
          <w:snapToGrid w:val="0"/>
          <w:kern w:val="0"/>
        </w:rPr>
      </w:pPr>
      <w:r>
        <w:rPr>
          <w:rFonts w:hint="eastAsia" w:hAnsi="宋体"/>
          <w:bCs/>
          <w:snapToGrid w:val="0"/>
          <w:kern w:val="0"/>
        </w:rPr>
        <w:t>2、政府补助会计处理</w:t>
      </w:r>
    </w:p>
    <w:p>
      <w:pPr>
        <w:pStyle w:val="15"/>
        <w:snapToGrid w:val="0"/>
        <w:spacing w:line="460" w:lineRule="atLeast"/>
        <w:ind w:firstLine="420" w:firstLineChars="200"/>
        <w:rPr>
          <w:rFonts w:hAnsi="宋体"/>
          <w:snapToGrid w:val="0"/>
          <w:kern w:val="0"/>
        </w:rPr>
      </w:pPr>
      <w:r>
        <w:rPr>
          <w:rFonts w:hint="eastAsia" w:hAnsi="宋体"/>
          <w:snapToGrid w:val="0"/>
          <w:kern w:val="0"/>
        </w:rPr>
        <w:t>与资产相关的政府补助，</w:t>
      </w:r>
      <w:r>
        <w:rPr>
          <w:rFonts w:hint="eastAsia" w:hAnsi="宋体"/>
          <w:snapToGrid w:val="0"/>
          <w:color w:val="000000" w:themeColor="text1"/>
          <w:kern w:val="0"/>
        </w:rPr>
        <w:t>确认为递延收益。确认为递延收益的金额，在相关资产使用寿命内按照合理、系统的方法分期计入当期损益。</w:t>
      </w:r>
      <w:r>
        <w:rPr>
          <w:rFonts w:hint="eastAsia" w:hAnsi="宋体"/>
          <w:snapToGrid w:val="0"/>
          <w:kern w:val="0"/>
        </w:rPr>
        <w:t>其中与本公司日常活动相关的，计入其他收益，与本公司日常活动无关的，计入营业外收入。</w:t>
      </w:r>
    </w:p>
    <w:p>
      <w:pPr>
        <w:pStyle w:val="15"/>
        <w:snapToGrid w:val="0"/>
        <w:spacing w:line="460" w:lineRule="atLeast"/>
        <w:ind w:firstLine="420" w:firstLineChars="200"/>
        <w:rPr>
          <w:rFonts w:hAnsi="宋体"/>
          <w:snapToGrid w:val="0"/>
          <w:kern w:val="0"/>
        </w:rPr>
      </w:pPr>
      <w:r>
        <w:rPr>
          <w:rFonts w:hint="eastAsia" w:hAnsi="宋体"/>
          <w:snapToGrid w:val="0"/>
          <w:kern w:val="0"/>
        </w:rPr>
        <w:t>按照名义金额计量的政府补助，直接计入当期损益。</w:t>
      </w:r>
    </w:p>
    <w:p>
      <w:pPr>
        <w:pStyle w:val="15"/>
        <w:snapToGrid w:val="0"/>
        <w:spacing w:line="460" w:lineRule="atLeast"/>
        <w:ind w:firstLine="420" w:firstLineChars="200"/>
        <w:rPr>
          <w:rFonts w:hAnsi="宋体"/>
          <w:snapToGrid w:val="0"/>
          <w:kern w:val="0"/>
        </w:rPr>
      </w:pPr>
      <w:r>
        <w:rPr>
          <w:rFonts w:hint="eastAsia" w:hAnsi="宋体"/>
          <w:snapToGrid w:val="0"/>
          <w:kern w:val="0"/>
        </w:rPr>
        <w:t>与收益相关的政府补助，分别下列情况处理：用于补偿企业以后期间的相关费用或损失的，确认为递延收益，并在确认相关费用的期间，计入当期损益。用于补偿企业已发生的相关费用或损失的，直接计入当期损益。计入当期损益时，与本公司日常活动相关的政府补助，计入其他收益；与本公司日常活动无关的政府补助，计入营业外收入。</w:t>
      </w:r>
    </w:p>
    <w:p>
      <w:pPr>
        <w:pStyle w:val="15"/>
        <w:snapToGrid w:val="0"/>
        <w:spacing w:line="460" w:lineRule="atLeast"/>
        <w:ind w:firstLine="420" w:firstLineChars="200"/>
        <w:rPr>
          <w:rFonts w:hAnsi="宋体"/>
          <w:bCs/>
          <w:snapToGrid w:val="0"/>
          <w:kern w:val="0"/>
        </w:rPr>
      </w:pPr>
      <w:r>
        <w:rPr>
          <w:rFonts w:hint="eastAsia" w:hAnsi="宋体"/>
          <w:bCs/>
          <w:snapToGrid w:val="0"/>
          <w:kern w:val="0"/>
        </w:rPr>
        <w:t>3、区分与资产相关政府补助和与收益相关政府补助的具体标准</w:t>
      </w:r>
    </w:p>
    <w:p>
      <w:pPr>
        <w:pStyle w:val="15"/>
        <w:snapToGrid w:val="0"/>
        <w:spacing w:line="460" w:lineRule="atLeast"/>
        <w:ind w:firstLine="420" w:firstLineChars="200"/>
        <w:rPr>
          <w:rFonts w:hAnsi="宋体" w:cs="仿宋_GB2312"/>
          <w:snapToGrid w:val="0"/>
          <w:kern w:val="0"/>
        </w:rPr>
      </w:pPr>
      <w:r>
        <w:rPr>
          <w:rFonts w:hint="eastAsia" w:hAnsi="宋体" w:cs="仿宋_GB2312"/>
          <w:snapToGrid w:val="0"/>
          <w:kern w:val="0"/>
        </w:rPr>
        <w:t>本公司取得的、用于购建或以其他方式形成长期资产的政府补助，确认为与资产相关的政府补助，除与资产相关的政府补助之外的政府补助，确认为与收益相关的政府补助。</w:t>
      </w:r>
    </w:p>
    <w:p>
      <w:pPr>
        <w:pStyle w:val="15"/>
        <w:snapToGrid w:val="0"/>
        <w:spacing w:line="460" w:lineRule="atLeast"/>
        <w:ind w:firstLine="420" w:firstLineChars="200"/>
        <w:rPr>
          <w:rFonts w:hAnsi="宋体" w:cs="仿宋_GB2312"/>
          <w:snapToGrid w:val="0"/>
          <w:color w:val="000000" w:themeColor="text1"/>
          <w:kern w:val="0"/>
        </w:rPr>
      </w:pPr>
      <w:r>
        <w:rPr>
          <w:rFonts w:hint="eastAsia" w:hAnsi="宋体" w:cs="仿宋_GB2312"/>
          <w:snapToGrid w:val="0"/>
          <w:kern w:val="0"/>
        </w:rPr>
        <w:t>若政府文件未明确规定补助对象，将该政府补助划分为与资产相关或与收益相关的判断依据：</w:t>
      </w:r>
      <w:r>
        <w:rPr>
          <w:rFonts w:hint="eastAsia" w:hAnsi="宋体" w:cs="仿宋_GB2312"/>
          <w:snapToGrid w:val="0"/>
          <w:color w:val="000000" w:themeColor="text1"/>
          <w:kern w:val="0"/>
        </w:rPr>
        <w:t>①政府文件明确了补助所针对的特定项目的，根据该特定项目的预算中将形成资产的支出金额和计入费用的支出金额的相对比例进行划分，对该划分比例需在每个资产负债表日进行复核，必要时进行变更；②政府文件中对用途仅作一般性表述，没有指明特定项目的，作为与收益相关的政府补助。</w:t>
      </w:r>
    </w:p>
    <w:p>
      <w:pPr>
        <w:autoSpaceDE w:val="0"/>
        <w:autoSpaceDN w:val="0"/>
        <w:adjustRightInd w:val="0"/>
        <w:snapToGrid w:val="0"/>
        <w:spacing w:line="460" w:lineRule="atLeast"/>
        <w:ind w:firstLine="420" w:firstLineChars="200"/>
        <w:jc w:val="left"/>
        <w:rPr>
          <w:rFonts w:hAnsi="宋体"/>
          <w:bCs/>
          <w:snapToGrid w:val="0"/>
          <w:kern w:val="0"/>
        </w:rPr>
      </w:pPr>
      <w:r>
        <w:rPr>
          <w:rFonts w:hint="eastAsia" w:asciiTheme="majorEastAsia" w:hAnsiTheme="majorEastAsia" w:eastAsiaTheme="majorEastAsia"/>
          <w:bCs/>
          <w:snapToGrid w:val="0"/>
          <w:kern w:val="0"/>
        </w:rPr>
        <w:t>4、</w:t>
      </w:r>
      <w:r>
        <w:rPr>
          <w:rFonts w:hint="eastAsia" w:hAnsi="宋体"/>
          <w:bCs/>
          <w:snapToGrid w:val="0"/>
          <w:kern w:val="0"/>
        </w:rPr>
        <w:t>政府补助的确认时点</w:t>
      </w:r>
    </w:p>
    <w:p>
      <w:pPr>
        <w:pStyle w:val="15"/>
        <w:snapToGrid w:val="0"/>
        <w:spacing w:line="460" w:lineRule="atLeast"/>
        <w:ind w:firstLine="420" w:firstLineChars="200"/>
        <w:rPr>
          <w:rFonts w:hAnsi="宋体"/>
          <w:snapToGrid w:val="0"/>
          <w:kern w:val="0"/>
        </w:rPr>
      </w:pPr>
      <w:r>
        <w:rPr>
          <w:rFonts w:hint="eastAsia" w:hAnsi="宋体"/>
          <w:bCs/>
          <w:snapToGrid w:val="0"/>
          <w:kern w:val="0"/>
        </w:rPr>
        <w:t>按照应收金额计量的政府补助，在期末</w:t>
      </w:r>
      <w:r>
        <w:rPr>
          <w:rFonts w:hint="eastAsia" w:hAnsi="宋体" w:cs="Times New Roman"/>
          <w:snapToGrid w:val="0"/>
          <w:kern w:val="0"/>
        </w:rPr>
        <w:t>有确凿证据表明能够符合财政扶持政策规定的相关条件且预计能够收到财政扶持资金时予以确认。除</w:t>
      </w:r>
      <w:r>
        <w:rPr>
          <w:rFonts w:hint="eastAsia" w:hAnsi="宋体"/>
          <w:snapToGrid w:val="0"/>
          <w:kern w:val="0"/>
        </w:rPr>
        <w:t>按照应收金额计量的政府补助外的其他政府补助，在实际收到补助款项时予以确认。</w:t>
      </w:r>
    </w:p>
    <w:p>
      <w:pPr>
        <w:pStyle w:val="15"/>
        <w:numPr>
          <w:ilvl w:val="0"/>
          <w:numId w:val="4"/>
        </w:numPr>
        <w:tabs>
          <w:tab w:val="left" w:pos="1276"/>
        </w:tabs>
        <w:snapToGrid w:val="0"/>
        <w:spacing w:line="460" w:lineRule="atLeast"/>
        <w:ind w:left="0" w:firstLine="420" w:firstLineChars="200"/>
        <w:outlineLvl w:val="1"/>
        <w:rPr>
          <w:rFonts w:hAnsi="宋体"/>
        </w:rPr>
      </w:pPr>
      <w:r>
        <w:rPr>
          <w:rFonts w:hint="eastAsia" w:hAnsi="宋体"/>
        </w:rPr>
        <w:t>递延所得税资产和递延所得税负债</w:t>
      </w:r>
    </w:p>
    <w:p>
      <w:pPr>
        <w:pStyle w:val="15"/>
        <w:snapToGrid w:val="0"/>
        <w:spacing w:line="460" w:lineRule="atLeast"/>
        <w:ind w:firstLine="420" w:firstLineChars="200"/>
        <w:rPr>
          <w:rFonts w:hAnsi="宋体"/>
          <w:snapToGrid w:val="0"/>
          <w:kern w:val="0"/>
        </w:rPr>
      </w:pPr>
      <w:r>
        <w:rPr>
          <w:rFonts w:hint="eastAsia" w:hAnsi="宋体"/>
          <w:snapToGrid w:val="0"/>
          <w:kern w:val="0"/>
        </w:rPr>
        <w:t>1、根据资产、负债的账面价值与其计税基础之间的差额（未作为资产和负债确认的项目按照税法规定可以确定其计税基础的，确定该计税基础为其差额），按照预期收回该资产或清偿该负债期间的适用税率计算确认递延所得税资产或递延所得税负债。</w:t>
      </w:r>
    </w:p>
    <w:p>
      <w:pPr>
        <w:pStyle w:val="15"/>
        <w:snapToGrid w:val="0"/>
        <w:spacing w:line="460" w:lineRule="atLeast"/>
        <w:ind w:firstLine="420" w:firstLineChars="200"/>
        <w:rPr>
          <w:rFonts w:hAnsi="宋体"/>
          <w:snapToGrid w:val="0"/>
          <w:kern w:val="0"/>
        </w:rPr>
      </w:pPr>
      <w:r>
        <w:rPr>
          <w:rFonts w:hint="eastAsia" w:hAnsi="宋体"/>
          <w:snapToGrid w:val="0"/>
          <w:kern w:val="0"/>
        </w:rPr>
        <w:t>2、递延所得税资产的确认以很可能取得用来抵扣可抵扣暂时性差异的应纳税所得额为限。资产负债表日，有确凿证据表明未来期间很可能获得足够的应纳税所得额用来抵扣可抵扣暂时性差异的，确认以前会计期间未确认的递延所得税资产。如未来期间很可能无法获得足够的应纳税所得额用以抵扣递延所得税资产的，则减记递延所得税资产的账面价值。</w:t>
      </w:r>
    </w:p>
    <w:p>
      <w:pPr>
        <w:pStyle w:val="15"/>
        <w:snapToGrid w:val="0"/>
        <w:spacing w:line="460" w:lineRule="atLeast"/>
        <w:ind w:firstLine="420" w:firstLineChars="200"/>
        <w:rPr>
          <w:rFonts w:hAnsi="宋体"/>
          <w:snapToGrid w:val="0"/>
          <w:kern w:val="0"/>
        </w:rPr>
      </w:pPr>
      <w:r>
        <w:rPr>
          <w:rFonts w:hint="eastAsia" w:hAnsi="宋体"/>
          <w:snapToGrid w:val="0"/>
          <w:kern w:val="0"/>
        </w:rPr>
        <w:t>3、对与子公司及联营企业投资相关的应纳税暂时性差异，确认递延所得税负债，除非本公司能够控制暂时性差异转回的时间且该暂时性差异在可预见的未来很可能不会转回。对与子公司及联营企业投资相关的可抵扣暂时性差异，当该暂时性差异在可预见的未来很可能转回且未来很可能获得用来抵扣可抵扣暂时性差异的应纳税所得额时，确认递延所得税资产。</w:t>
      </w:r>
    </w:p>
    <w:p>
      <w:pPr>
        <w:pStyle w:val="15"/>
        <w:numPr>
          <w:ilvl w:val="0"/>
          <w:numId w:val="4"/>
        </w:numPr>
        <w:tabs>
          <w:tab w:val="left" w:pos="1276"/>
        </w:tabs>
        <w:snapToGrid w:val="0"/>
        <w:spacing w:line="460" w:lineRule="atLeast"/>
        <w:ind w:left="0" w:firstLine="420" w:firstLineChars="200"/>
        <w:outlineLvl w:val="1"/>
        <w:rPr>
          <w:rFonts w:hAnsi="宋体"/>
        </w:rPr>
      </w:pPr>
      <w:r>
        <w:rPr>
          <w:rFonts w:hint="eastAsia" w:hAnsi="宋体"/>
        </w:rPr>
        <w:t>租赁</w:t>
      </w:r>
    </w:p>
    <w:p>
      <w:pPr>
        <w:pStyle w:val="15"/>
        <w:snapToGrid w:val="0"/>
        <w:spacing w:line="460" w:lineRule="atLeast"/>
        <w:ind w:firstLine="420" w:firstLineChars="200"/>
        <w:rPr>
          <w:rFonts w:hAnsi="宋体"/>
          <w:snapToGrid w:val="0"/>
          <w:kern w:val="0"/>
        </w:rPr>
      </w:pPr>
      <w:r>
        <w:rPr>
          <w:rFonts w:hint="eastAsia" w:hAnsi="宋体"/>
          <w:snapToGrid w:val="0"/>
          <w:kern w:val="0"/>
        </w:rPr>
        <w:t>1、经营租赁的会计处理方法：经营租赁的租金支出在租赁期内按照直线法计入相关资产成本或当期损益。</w:t>
      </w:r>
      <w:r>
        <w:rPr>
          <w:rFonts w:hAnsi="宋体"/>
          <w:snapToGrid w:val="0"/>
          <w:kern w:val="0"/>
        </w:rPr>
        <w:t xml:space="preserve"> </w:t>
      </w:r>
    </w:p>
    <w:p>
      <w:pPr>
        <w:pStyle w:val="15"/>
        <w:snapToGrid w:val="0"/>
        <w:spacing w:line="460" w:lineRule="atLeast"/>
        <w:ind w:firstLine="420" w:firstLineChars="200"/>
        <w:rPr>
          <w:rFonts w:hAnsi="宋体"/>
          <w:snapToGrid w:val="0"/>
          <w:kern w:val="0"/>
        </w:rPr>
      </w:pPr>
      <w:r>
        <w:rPr>
          <w:rFonts w:hint="eastAsia" w:hAnsi="宋体"/>
          <w:snapToGrid w:val="0"/>
          <w:kern w:val="0"/>
        </w:rPr>
        <w:t>2、融资租赁的会计处理方法：以租赁资产的公允价值与最低租赁付款额的现值两者中较低者作为租入资产的入账价值，租入资产的入账价值与最低租赁付款额之间的差额作为未确认融资费用，在租赁期内按实际利率法摊销。最低租赁付款额扣除未确认融资费用后的余额作为长期应付款列示。</w:t>
      </w:r>
      <w:r>
        <w:rPr>
          <w:rFonts w:hAnsi="宋体"/>
          <w:snapToGrid w:val="0"/>
          <w:kern w:val="0"/>
        </w:rPr>
        <w:t xml:space="preserve"> </w:t>
      </w:r>
    </w:p>
    <w:p>
      <w:pPr>
        <w:pStyle w:val="15"/>
        <w:numPr>
          <w:ilvl w:val="0"/>
          <w:numId w:val="4"/>
        </w:numPr>
        <w:tabs>
          <w:tab w:val="left" w:pos="1276"/>
        </w:tabs>
        <w:snapToGrid w:val="0"/>
        <w:spacing w:line="460" w:lineRule="atLeast"/>
        <w:ind w:left="0" w:firstLine="420" w:firstLineChars="200"/>
        <w:outlineLvl w:val="1"/>
        <w:rPr>
          <w:rFonts w:hAnsi="宋体"/>
        </w:rPr>
      </w:pPr>
      <w:r>
        <w:rPr>
          <w:rFonts w:hint="eastAsia" w:hAnsi="宋体"/>
        </w:rPr>
        <w:t>主要会计政策变更、会计估计变更的说明</w:t>
      </w:r>
    </w:p>
    <w:p>
      <w:pPr>
        <w:pStyle w:val="15"/>
        <w:numPr>
          <w:ilvl w:val="1"/>
          <w:numId w:val="4"/>
        </w:numPr>
        <w:tabs>
          <w:tab w:val="left" w:pos="1276"/>
        </w:tabs>
        <w:snapToGrid w:val="0"/>
        <w:spacing w:line="460" w:lineRule="atLeast"/>
        <w:outlineLvl w:val="1"/>
        <w:rPr>
          <w:rFonts w:hAnsi="宋体"/>
        </w:rPr>
      </w:pPr>
      <w:r>
        <w:rPr>
          <w:rFonts w:hint="eastAsia" w:hAnsi="宋体"/>
        </w:rPr>
        <w:t>主要会计政策变更的说明</w:t>
      </w:r>
    </w:p>
    <w:p>
      <w:pPr>
        <w:pStyle w:val="15"/>
        <w:tabs>
          <w:tab w:val="left" w:pos="1276"/>
        </w:tabs>
        <w:snapToGrid w:val="0"/>
        <w:spacing w:line="460" w:lineRule="atLeast"/>
        <w:ind w:left="283" w:leftChars="135" w:firstLine="105" w:firstLineChars="50"/>
        <w:outlineLvl w:val="1"/>
        <w:rPr>
          <w:rFonts w:hAnsi="宋体"/>
        </w:rPr>
      </w:pPr>
      <w:r>
        <w:rPr>
          <w:rFonts w:hint="eastAsia" w:hAnsi="宋体"/>
        </w:rPr>
        <w:t>无</w:t>
      </w:r>
    </w:p>
    <w:p>
      <w:pPr>
        <w:pStyle w:val="15"/>
        <w:snapToGrid w:val="0"/>
        <w:spacing w:line="460" w:lineRule="atLeast"/>
        <w:ind w:firstLine="420" w:firstLineChars="200"/>
        <w:rPr>
          <w:rFonts w:asciiTheme="majorEastAsia" w:hAnsiTheme="majorEastAsia" w:eastAsiaTheme="majorEastAsia"/>
          <w:snapToGrid w:val="0"/>
          <w:color w:val="000000" w:themeColor="text1"/>
          <w:kern w:val="0"/>
        </w:rPr>
      </w:pPr>
      <w:r>
        <w:rPr>
          <w:rFonts w:hint="eastAsia" w:asciiTheme="majorEastAsia" w:hAnsiTheme="majorEastAsia" w:eastAsiaTheme="majorEastAsia"/>
          <w:snapToGrid w:val="0"/>
          <w:color w:val="000000" w:themeColor="text1"/>
          <w:kern w:val="0"/>
        </w:rPr>
        <w:t>2、会计估计变更说明</w:t>
      </w:r>
    </w:p>
    <w:p>
      <w:pPr>
        <w:pStyle w:val="15"/>
        <w:snapToGrid w:val="0"/>
        <w:spacing w:line="460" w:lineRule="atLeast"/>
        <w:ind w:firstLine="420" w:firstLineChars="200"/>
        <w:rPr>
          <w:rFonts w:asciiTheme="majorEastAsia" w:hAnsiTheme="majorEastAsia" w:eastAsiaTheme="majorEastAsia"/>
          <w:snapToGrid w:val="0"/>
          <w:color w:val="000000" w:themeColor="text1"/>
          <w:kern w:val="0"/>
        </w:rPr>
      </w:pPr>
      <w:r>
        <w:rPr>
          <w:rFonts w:hint="eastAsia" w:asciiTheme="majorEastAsia" w:hAnsiTheme="majorEastAsia" w:eastAsiaTheme="majorEastAsia"/>
          <w:snapToGrid w:val="0"/>
          <w:color w:val="000000" w:themeColor="text1"/>
          <w:kern w:val="0"/>
        </w:rPr>
        <w:t>无</w:t>
      </w:r>
    </w:p>
    <w:p>
      <w:pPr>
        <w:pStyle w:val="76"/>
        <w:numPr>
          <w:ilvl w:val="0"/>
          <w:numId w:val="3"/>
        </w:numPr>
        <w:tabs>
          <w:tab w:val="left" w:pos="993"/>
        </w:tabs>
        <w:snapToGrid w:val="0"/>
        <w:spacing w:line="460" w:lineRule="atLeast"/>
        <w:ind w:firstLineChars="0"/>
        <w:outlineLvl w:val="0"/>
        <w:rPr>
          <w:rStyle w:val="45"/>
          <w:rFonts w:ascii="黑体" w:hAnsi="宋体" w:eastAsia="黑体"/>
          <w:bCs/>
          <w:snapToGrid w:val="0"/>
          <w:kern w:val="0"/>
          <w:sz w:val="24"/>
          <w:szCs w:val="24"/>
        </w:rPr>
      </w:pPr>
      <w:r>
        <w:rPr>
          <w:rStyle w:val="45"/>
          <w:rFonts w:hint="eastAsia" w:ascii="黑体" w:hAnsi="宋体" w:eastAsia="黑体"/>
          <w:bCs/>
          <w:snapToGrid w:val="0"/>
          <w:kern w:val="0"/>
          <w:sz w:val="24"/>
          <w:szCs w:val="24"/>
        </w:rPr>
        <w:t>税项</w:t>
      </w:r>
    </w:p>
    <w:p>
      <w:pPr>
        <w:pStyle w:val="15"/>
        <w:numPr>
          <w:ilvl w:val="0"/>
          <w:numId w:val="5"/>
        </w:numPr>
        <w:tabs>
          <w:tab w:val="left" w:pos="851"/>
        </w:tabs>
        <w:snapToGrid w:val="0"/>
        <w:spacing w:after="156" w:afterLines="50" w:line="460" w:lineRule="atLeast"/>
        <w:ind w:left="840"/>
        <w:outlineLvl w:val="1"/>
        <w:rPr>
          <w:rFonts w:hAnsi="宋体" w:cs="Times New Roman"/>
          <w:bCs/>
          <w:snapToGrid w:val="0"/>
          <w:kern w:val="0"/>
        </w:rPr>
      </w:pPr>
      <w:r>
        <w:rPr>
          <w:rFonts w:hint="eastAsia" w:hAnsi="宋体" w:cs="Times New Roman"/>
          <w:bCs/>
          <w:snapToGrid w:val="0"/>
          <w:kern w:val="0"/>
        </w:rPr>
        <w:t>主要税种及税率</w:t>
      </w:r>
    </w:p>
    <w:tbl>
      <w:tblPr>
        <w:tblStyle w:val="31"/>
        <w:tblW w:w="8657" w:type="dxa"/>
        <w:tblInd w:w="0" w:type="dxa"/>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
      <w:tblGrid>
        <w:gridCol w:w="1810"/>
        <w:gridCol w:w="5244"/>
        <w:gridCol w:w="1603"/>
      </w:tblGrid>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340" w:hRule="atLeast"/>
          <w:tblHeader/>
        </w:trPr>
        <w:tc>
          <w:tcPr>
            <w:tcW w:w="1810" w:type="dxa"/>
            <w:tcBorders>
              <w:top w:val="single" w:color="auto" w:sz="12" w:space="0"/>
            </w:tcBorders>
            <w:vAlign w:val="center"/>
          </w:tcPr>
          <w:p>
            <w:pPr>
              <w:adjustRightInd w:val="0"/>
              <w:snapToGrid w:val="0"/>
              <w:jc w:val="center"/>
              <w:outlineLvl w:val="1"/>
              <w:rPr>
                <w:rFonts w:ascii="宋体" w:hAnsi="宋体" w:cs="Arial Narrow"/>
                <w:snapToGrid w:val="0"/>
                <w:kern w:val="0"/>
                <w:sz w:val="18"/>
                <w:szCs w:val="18"/>
              </w:rPr>
            </w:pPr>
            <w:r>
              <w:rPr>
                <w:rFonts w:hint="eastAsia" w:ascii="宋体" w:hAnsi="宋体" w:cs="宋体"/>
                <w:snapToGrid w:val="0"/>
                <w:kern w:val="0"/>
                <w:sz w:val="18"/>
                <w:szCs w:val="18"/>
              </w:rPr>
              <w:t>税</w:t>
            </w:r>
            <w:r>
              <w:rPr>
                <w:rFonts w:ascii="宋体" w:hAnsi="宋体" w:cs="宋体"/>
                <w:snapToGrid w:val="0"/>
                <w:kern w:val="0"/>
                <w:sz w:val="18"/>
                <w:szCs w:val="18"/>
              </w:rPr>
              <w:t xml:space="preserve">  </w:t>
            </w:r>
            <w:r>
              <w:rPr>
                <w:rFonts w:hint="eastAsia" w:ascii="宋体" w:hAnsi="宋体" w:cs="宋体"/>
                <w:snapToGrid w:val="0"/>
                <w:kern w:val="0"/>
                <w:sz w:val="18"/>
                <w:szCs w:val="18"/>
              </w:rPr>
              <w:t>种</w:t>
            </w:r>
          </w:p>
        </w:tc>
        <w:tc>
          <w:tcPr>
            <w:tcW w:w="5244" w:type="dxa"/>
            <w:tcBorders>
              <w:top w:val="single" w:color="auto" w:sz="12" w:space="0"/>
            </w:tcBorders>
            <w:vAlign w:val="center"/>
          </w:tcPr>
          <w:p>
            <w:pPr>
              <w:adjustRightInd w:val="0"/>
              <w:snapToGrid w:val="0"/>
              <w:jc w:val="center"/>
              <w:outlineLvl w:val="1"/>
              <w:rPr>
                <w:rFonts w:ascii="宋体" w:hAnsi="宋体" w:cs="Arial Narrow"/>
                <w:snapToGrid w:val="0"/>
                <w:kern w:val="0"/>
                <w:sz w:val="18"/>
                <w:szCs w:val="18"/>
              </w:rPr>
            </w:pPr>
            <w:r>
              <w:rPr>
                <w:rFonts w:hint="eastAsia" w:ascii="宋体" w:hAnsi="宋体" w:cs="宋体"/>
                <w:snapToGrid w:val="0"/>
                <w:kern w:val="0"/>
                <w:sz w:val="18"/>
                <w:szCs w:val="18"/>
              </w:rPr>
              <w:t>计税依据</w:t>
            </w:r>
          </w:p>
        </w:tc>
        <w:tc>
          <w:tcPr>
            <w:tcW w:w="1603" w:type="dxa"/>
            <w:tcBorders>
              <w:top w:val="single" w:color="auto" w:sz="12" w:space="0"/>
            </w:tcBorders>
            <w:vAlign w:val="center"/>
          </w:tcPr>
          <w:p>
            <w:pPr>
              <w:adjustRightInd w:val="0"/>
              <w:snapToGrid w:val="0"/>
              <w:jc w:val="center"/>
              <w:outlineLvl w:val="1"/>
              <w:rPr>
                <w:rFonts w:ascii="宋体" w:hAnsi="宋体" w:cs="Arial Narrow"/>
                <w:snapToGrid w:val="0"/>
                <w:kern w:val="0"/>
                <w:sz w:val="18"/>
                <w:szCs w:val="18"/>
              </w:rPr>
            </w:pPr>
            <w:r>
              <w:rPr>
                <w:rFonts w:hint="eastAsia" w:ascii="宋体" w:hAnsi="宋体" w:cs="宋体"/>
                <w:snapToGrid w:val="0"/>
                <w:kern w:val="0"/>
                <w:sz w:val="18"/>
                <w:szCs w:val="18"/>
              </w:rPr>
              <w:t>税率</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340" w:hRule="atLeast"/>
        </w:trPr>
        <w:tc>
          <w:tcPr>
            <w:tcW w:w="1810" w:type="dxa"/>
            <w:vAlign w:val="center"/>
          </w:tcPr>
          <w:p>
            <w:pPr>
              <w:snapToGrid w:val="0"/>
              <w:spacing w:line="360" w:lineRule="atLeast"/>
              <w:outlineLvl w:val="1"/>
              <w:rPr>
                <w:rFonts w:ascii="Arial Narrow" w:hAnsi="Arial Narrow" w:cs="Arial Narrow"/>
                <w:snapToGrid w:val="0"/>
                <w:kern w:val="0"/>
                <w:sz w:val="18"/>
                <w:szCs w:val="18"/>
              </w:rPr>
            </w:pPr>
            <w:r>
              <w:rPr>
                <w:rFonts w:hint="eastAsia" w:ascii="Arial Narrow" w:hAnsi="宋体" w:cs="宋体"/>
                <w:snapToGrid w:val="0"/>
                <w:kern w:val="0"/>
                <w:sz w:val="18"/>
                <w:szCs w:val="18"/>
              </w:rPr>
              <w:t>增值税</w:t>
            </w:r>
          </w:p>
        </w:tc>
        <w:tc>
          <w:tcPr>
            <w:tcW w:w="5244" w:type="dxa"/>
            <w:vAlign w:val="center"/>
          </w:tcPr>
          <w:p>
            <w:pPr>
              <w:snapToGrid w:val="0"/>
              <w:spacing w:line="360" w:lineRule="atLeast"/>
              <w:outlineLvl w:val="1"/>
              <w:rPr>
                <w:rFonts w:ascii="宋体" w:hAnsi="宋体" w:cs="Arial Narrow"/>
                <w:snapToGrid w:val="0"/>
                <w:kern w:val="0"/>
                <w:sz w:val="18"/>
                <w:szCs w:val="18"/>
              </w:rPr>
            </w:pPr>
            <w:r>
              <w:rPr>
                <w:rFonts w:hint="eastAsia" w:ascii="宋体" w:hAnsi="宋体" w:cs="Arial Narrow"/>
                <w:snapToGrid w:val="0"/>
                <w:kern w:val="0"/>
                <w:sz w:val="18"/>
                <w:szCs w:val="18"/>
              </w:rPr>
              <w:t>按税法规定计算的销售货物和应税劳务收入为基础计算销项税额，在扣除当期允许抵扣的进项税额后，差额部分为应交增值税</w:t>
            </w:r>
          </w:p>
        </w:tc>
        <w:tc>
          <w:tcPr>
            <w:tcW w:w="1603" w:type="dxa"/>
            <w:vAlign w:val="center"/>
          </w:tcPr>
          <w:p>
            <w:pPr>
              <w:snapToGrid w:val="0"/>
              <w:spacing w:line="360" w:lineRule="atLeast"/>
              <w:jc w:val="center"/>
              <w:outlineLvl w:val="1"/>
              <w:rPr>
                <w:rFonts w:cs="Arial Narrow" w:asciiTheme="minorEastAsia" w:hAnsiTheme="minorEastAsia" w:eastAsiaTheme="minorEastAsia"/>
                <w:snapToGrid w:val="0"/>
                <w:kern w:val="0"/>
              </w:rPr>
            </w:pPr>
            <w:r>
              <w:rPr>
                <w:rFonts w:hint="eastAsia" w:cs="Arial Narrow" w:asciiTheme="minorEastAsia" w:hAnsiTheme="minorEastAsia" w:eastAsiaTheme="minorEastAsia"/>
                <w:snapToGrid w:val="0"/>
                <w:kern w:val="0"/>
              </w:rPr>
              <w:t>6%</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340" w:hRule="atLeast"/>
        </w:trPr>
        <w:tc>
          <w:tcPr>
            <w:tcW w:w="1810" w:type="dxa"/>
            <w:vAlign w:val="center"/>
          </w:tcPr>
          <w:p>
            <w:pPr>
              <w:snapToGrid w:val="0"/>
              <w:spacing w:line="360" w:lineRule="atLeast"/>
              <w:outlineLvl w:val="1"/>
              <w:rPr>
                <w:rFonts w:ascii="Arial Narrow" w:hAnsi="宋体" w:cs="宋体"/>
                <w:snapToGrid w:val="0"/>
                <w:kern w:val="0"/>
                <w:sz w:val="18"/>
                <w:szCs w:val="18"/>
              </w:rPr>
            </w:pPr>
            <w:r>
              <w:rPr>
                <w:rFonts w:hint="eastAsia" w:ascii="Arial Narrow" w:hAnsi="宋体" w:cs="宋体"/>
                <w:snapToGrid w:val="0"/>
                <w:kern w:val="0"/>
                <w:sz w:val="18"/>
                <w:szCs w:val="18"/>
              </w:rPr>
              <w:t>营业税</w:t>
            </w:r>
          </w:p>
        </w:tc>
        <w:tc>
          <w:tcPr>
            <w:tcW w:w="5244" w:type="dxa"/>
            <w:vAlign w:val="center"/>
          </w:tcPr>
          <w:p>
            <w:pPr>
              <w:snapToGrid w:val="0"/>
              <w:spacing w:line="360" w:lineRule="atLeast"/>
              <w:outlineLvl w:val="1"/>
              <w:rPr>
                <w:rFonts w:ascii="宋体" w:hAnsi="宋体" w:cs="Arial Narrow"/>
                <w:snapToGrid w:val="0"/>
                <w:kern w:val="0"/>
                <w:sz w:val="18"/>
                <w:szCs w:val="18"/>
              </w:rPr>
            </w:pPr>
            <w:r>
              <w:rPr>
                <w:rFonts w:hint="eastAsia" w:ascii="宋体" w:hAnsi="宋体" w:cs="Arial Narrow"/>
                <w:snapToGrid w:val="0"/>
                <w:kern w:val="0"/>
                <w:sz w:val="18"/>
                <w:szCs w:val="18"/>
              </w:rPr>
              <w:t>按应税营业额计征</w:t>
            </w:r>
          </w:p>
        </w:tc>
        <w:tc>
          <w:tcPr>
            <w:tcW w:w="1603" w:type="dxa"/>
            <w:vAlign w:val="center"/>
          </w:tcPr>
          <w:p>
            <w:pPr>
              <w:snapToGrid w:val="0"/>
              <w:spacing w:line="360" w:lineRule="atLeast"/>
              <w:jc w:val="center"/>
              <w:outlineLvl w:val="1"/>
              <w:rPr>
                <w:rFonts w:cs="Arial Narrow" w:asciiTheme="minorEastAsia" w:hAnsiTheme="minorEastAsia" w:eastAsiaTheme="minorEastAsia"/>
                <w:snapToGrid w:val="0"/>
                <w:kern w:val="0"/>
              </w:rPr>
            </w:pPr>
            <w:r>
              <w:rPr>
                <w:rFonts w:hint="eastAsia" w:cs="Arial Narrow" w:asciiTheme="minorEastAsia" w:hAnsiTheme="minorEastAsia" w:eastAsiaTheme="minorEastAsia"/>
                <w:snapToGrid w:val="0"/>
                <w:kern w:val="0"/>
              </w:rPr>
              <w:t>5%</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340" w:hRule="atLeast"/>
        </w:trPr>
        <w:tc>
          <w:tcPr>
            <w:tcW w:w="1810" w:type="dxa"/>
            <w:vAlign w:val="center"/>
          </w:tcPr>
          <w:p>
            <w:pPr>
              <w:adjustRightInd w:val="0"/>
              <w:snapToGrid w:val="0"/>
              <w:jc w:val="left"/>
              <w:rPr>
                <w:rFonts w:ascii="宋体" w:hAnsi="宋体" w:cs="宋体"/>
                <w:snapToGrid w:val="0"/>
                <w:kern w:val="0"/>
                <w:sz w:val="18"/>
                <w:szCs w:val="18"/>
              </w:rPr>
            </w:pPr>
            <w:r>
              <w:rPr>
                <w:rFonts w:hint="eastAsia" w:ascii="宋体" w:hAnsi="宋体" w:cs="宋体"/>
                <w:snapToGrid w:val="0"/>
                <w:kern w:val="0"/>
                <w:sz w:val="18"/>
                <w:szCs w:val="18"/>
              </w:rPr>
              <w:t>城市维护建设税</w:t>
            </w:r>
          </w:p>
        </w:tc>
        <w:tc>
          <w:tcPr>
            <w:tcW w:w="5244" w:type="dxa"/>
            <w:vAlign w:val="center"/>
          </w:tcPr>
          <w:p>
            <w:pPr>
              <w:adjustRightInd w:val="0"/>
              <w:snapToGrid w:val="0"/>
              <w:jc w:val="left"/>
              <w:rPr>
                <w:rFonts w:ascii="宋体" w:hAnsi="宋体" w:cs="宋体"/>
                <w:snapToGrid w:val="0"/>
                <w:kern w:val="0"/>
                <w:sz w:val="18"/>
                <w:szCs w:val="18"/>
              </w:rPr>
            </w:pPr>
            <w:r>
              <w:rPr>
                <w:rFonts w:hint="eastAsia" w:ascii="宋体" w:hAnsi="宋体" w:cs="宋体"/>
                <w:snapToGrid w:val="0"/>
                <w:kern w:val="0"/>
                <w:sz w:val="18"/>
                <w:szCs w:val="18"/>
              </w:rPr>
              <w:t>按实际缴纳的营业税、增值税及消费税计征</w:t>
            </w:r>
          </w:p>
        </w:tc>
        <w:tc>
          <w:tcPr>
            <w:tcW w:w="1603" w:type="dxa"/>
            <w:vAlign w:val="center"/>
          </w:tcPr>
          <w:p>
            <w:pPr>
              <w:snapToGrid w:val="0"/>
              <w:spacing w:line="360" w:lineRule="atLeast"/>
              <w:jc w:val="center"/>
              <w:outlineLvl w:val="1"/>
              <w:rPr>
                <w:rFonts w:cs="Arial Narrow" w:asciiTheme="minorEastAsia" w:hAnsiTheme="minorEastAsia" w:eastAsiaTheme="minorEastAsia"/>
                <w:snapToGrid w:val="0"/>
                <w:kern w:val="0"/>
              </w:rPr>
            </w:pPr>
            <w:r>
              <w:rPr>
                <w:rFonts w:hint="eastAsia" w:cs="Arial Narrow" w:asciiTheme="minorEastAsia" w:hAnsiTheme="minorEastAsia" w:eastAsiaTheme="minorEastAsia"/>
                <w:snapToGrid w:val="0"/>
                <w:kern w:val="0"/>
              </w:rPr>
              <w:t>7%</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340" w:hRule="atLeast"/>
        </w:trPr>
        <w:tc>
          <w:tcPr>
            <w:tcW w:w="1810" w:type="dxa"/>
            <w:vAlign w:val="center"/>
          </w:tcPr>
          <w:p>
            <w:pPr>
              <w:adjustRightInd w:val="0"/>
              <w:snapToGrid w:val="0"/>
              <w:jc w:val="left"/>
              <w:rPr>
                <w:rFonts w:ascii="宋体" w:hAnsi="宋体" w:cs="宋体"/>
                <w:snapToGrid w:val="0"/>
                <w:kern w:val="0"/>
                <w:sz w:val="18"/>
                <w:szCs w:val="18"/>
              </w:rPr>
            </w:pPr>
            <w:r>
              <w:rPr>
                <w:rFonts w:hint="eastAsia" w:ascii="宋体" w:hAnsi="宋体" w:cs="宋体"/>
                <w:snapToGrid w:val="0"/>
                <w:kern w:val="0"/>
                <w:sz w:val="18"/>
                <w:szCs w:val="18"/>
              </w:rPr>
              <w:t>教育费附加</w:t>
            </w:r>
          </w:p>
        </w:tc>
        <w:tc>
          <w:tcPr>
            <w:tcW w:w="5244" w:type="dxa"/>
            <w:vAlign w:val="center"/>
          </w:tcPr>
          <w:p>
            <w:pPr>
              <w:adjustRightInd w:val="0"/>
              <w:snapToGrid w:val="0"/>
              <w:jc w:val="left"/>
              <w:rPr>
                <w:rFonts w:ascii="宋体" w:hAnsi="宋体" w:cs="宋体"/>
                <w:snapToGrid w:val="0"/>
                <w:kern w:val="0"/>
                <w:sz w:val="18"/>
                <w:szCs w:val="18"/>
              </w:rPr>
            </w:pPr>
            <w:r>
              <w:rPr>
                <w:rFonts w:hint="eastAsia" w:ascii="宋体" w:hAnsi="宋体" w:cs="宋体"/>
                <w:snapToGrid w:val="0"/>
                <w:kern w:val="0"/>
                <w:sz w:val="18"/>
                <w:szCs w:val="18"/>
              </w:rPr>
              <w:t>按实际缴纳的营业税、增值税及消费税计征</w:t>
            </w:r>
          </w:p>
        </w:tc>
        <w:tc>
          <w:tcPr>
            <w:tcW w:w="1603" w:type="dxa"/>
            <w:vAlign w:val="center"/>
          </w:tcPr>
          <w:p>
            <w:pPr>
              <w:snapToGrid w:val="0"/>
              <w:spacing w:line="360" w:lineRule="atLeast"/>
              <w:jc w:val="center"/>
              <w:outlineLvl w:val="1"/>
              <w:rPr>
                <w:rFonts w:cs="Arial Narrow" w:asciiTheme="minorEastAsia" w:hAnsiTheme="minorEastAsia" w:eastAsiaTheme="minorEastAsia"/>
                <w:snapToGrid w:val="0"/>
                <w:kern w:val="0"/>
              </w:rPr>
            </w:pPr>
            <w:r>
              <w:rPr>
                <w:rFonts w:hint="eastAsia" w:cs="Arial Narrow" w:asciiTheme="minorEastAsia" w:hAnsiTheme="minorEastAsia" w:eastAsiaTheme="minorEastAsia"/>
                <w:snapToGrid w:val="0"/>
                <w:kern w:val="0"/>
              </w:rPr>
              <w:t>5%</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340" w:hRule="atLeast"/>
        </w:trPr>
        <w:tc>
          <w:tcPr>
            <w:tcW w:w="1810" w:type="dxa"/>
            <w:tcBorders>
              <w:bottom w:val="single" w:color="auto" w:sz="12" w:space="0"/>
            </w:tcBorders>
            <w:vAlign w:val="center"/>
          </w:tcPr>
          <w:p>
            <w:pPr>
              <w:adjustRightInd w:val="0"/>
              <w:snapToGrid w:val="0"/>
              <w:jc w:val="left"/>
              <w:rPr>
                <w:rFonts w:ascii="宋体" w:hAnsi="宋体" w:cs="宋体"/>
                <w:snapToGrid w:val="0"/>
                <w:kern w:val="0"/>
                <w:sz w:val="18"/>
                <w:szCs w:val="18"/>
              </w:rPr>
            </w:pPr>
            <w:r>
              <w:rPr>
                <w:rFonts w:hint="eastAsia" w:ascii="宋体" w:hAnsi="宋体" w:cs="宋体"/>
                <w:snapToGrid w:val="0"/>
                <w:kern w:val="0"/>
                <w:sz w:val="18"/>
                <w:szCs w:val="18"/>
              </w:rPr>
              <w:t>企业所得税</w:t>
            </w:r>
          </w:p>
        </w:tc>
        <w:tc>
          <w:tcPr>
            <w:tcW w:w="5244" w:type="dxa"/>
            <w:tcBorders>
              <w:bottom w:val="single" w:color="auto" w:sz="12" w:space="0"/>
            </w:tcBorders>
            <w:vAlign w:val="center"/>
          </w:tcPr>
          <w:p>
            <w:pPr>
              <w:adjustRightInd w:val="0"/>
              <w:snapToGrid w:val="0"/>
              <w:jc w:val="left"/>
              <w:rPr>
                <w:rFonts w:ascii="宋体" w:hAnsi="宋体" w:cs="宋体"/>
                <w:snapToGrid w:val="0"/>
                <w:kern w:val="0"/>
                <w:sz w:val="18"/>
                <w:szCs w:val="18"/>
              </w:rPr>
            </w:pPr>
            <w:r>
              <w:rPr>
                <w:rFonts w:hint="eastAsia" w:ascii="宋体" w:hAnsi="宋体" w:cs="宋体"/>
                <w:snapToGrid w:val="0"/>
                <w:kern w:val="0"/>
                <w:sz w:val="18"/>
                <w:szCs w:val="18"/>
              </w:rPr>
              <w:t>按应纳税所得额计征</w:t>
            </w:r>
          </w:p>
        </w:tc>
        <w:tc>
          <w:tcPr>
            <w:tcW w:w="1603" w:type="dxa"/>
            <w:tcBorders>
              <w:bottom w:val="single" w:color="auto" w:sz="12" w:space="0"/>
            </w:tcBorders>
            <w:vAlign w:val="center"/>
          </w:tcPr>
          <w:p>
            <w:pPr>
              <w:snapToGrid w:val="0"/>
              <w:spacing w:line="360" w:lineRule="atLeast"/>
              <w:jc w:val="center"/>
              <w:outlineLvl w:val="1"/>
              <w:rPr>
                <w:rFonts w:cs="Arial Narrow" w:asciiTheme="minorEastAsia" w:hAnsiTheme="minorEastAsia" w:eastAsiaTheme="minorEastAsia"/>
                <w:snapToGrid w:val="0"/>
                <w:kern w:val="0"/>
              </w:rPr>
            </w:pPr>
            <w:r>
              <w:rPr>
                <w:rFonts w:hint="eastAsia" w:cs="Arial Narrow" w:asciiTheme="minorEastAsia" w:hAnsiTheme="minorEastAsia" w:eastAsiaTheme="minorEastAsia"/>
                <w:snapToGrid w:val="0"/>
                <w:kern w:val="0"/>
              </w:rPr>
              <w:t>25%</w:t>
            </w:r>
          </w:p>
        </w:tc>
      </w:tr>
    </w:tbl>
    <w:p>
      <w:pPr>
        <w:tabs>
          <w:tab w:val="right" w:pos="7740"/>
        </w:tabs>
        <w:adjustRightInd w:val="0"/>
        <w:snapToGrid w:val="0"/>
        <w:spacing w:line="460" w:lineRule="atLeast"/>
        <w:rPr>
          <w:rFonts w:ascii="宋体" w:hAnsi="宋体" w:cs="宋体"/>
          <w:snapToGrid w:val="0"/>
          <w:kern w:val="0"/>
        </w:rPr>
      </w:pPr>
      <w:bookmarkStart w:id="0" w:name="_Toc247371925"/>
      <w:bookmarkStart w:id="1" w:name="_Toc241636513"/>
      <w:bookmarkStart w:id="2" w:name="_Toc247094137"/>
    </w:p>
    <w:bookmarkEnd w:id="0"/>
    <w:bookmarkEnd w:id="1"/>
    <w:bookmarkEnd w:id="2"/>
    <w:p>
      <w:pPr>
        <w:pStyle w:val="76"/>
        <w:numPr>
          <w:ilvl w:val="0"/>
          <w:numId w:val="3"/>
        </w:numPr>
        <w:snapToGrid w:val="0"/>
        <w:spacing w:line="460" w:lineRule="atLeast"/>
        <w:ind w:firstLineChars="0"/>
        <w:outlineLvl w:val="0"/>
        <w:rPr>
          <w:rStyle w:val="45"/>
          <w:rFonts w:ascii="黑体" w:hAnsi="宋体" w:eastAsia="黑体"/>
          <w:bCs/>
          <w:snapToGrid w:val="0"/>
          <w:kern w:val="0"/>
          <w:sz w:val="24"/>
          <w:szCs w:val="24"/>
        </w:rPr>
      </w:pPr>
      <w:r>
        <w:rPr>
          <w:rStyle w:val="45"/>
          <w:rFonts w:hint="eastAsia" w:ascii="黑体" w:hAnsi="宋体" w:eastAsia="黑体"/>
          <w:bCs/>
          <w:snapToGrid w:val="0"/>
          <w:kern w:val="0"/>
          <w:sz w:val="24"/>
          <w:szCs w:val="24"/>
        </w:rPr>
        <w:t>公司财务报表主要项目注释</w:t>
      </w:r>
    </w:p>
    <w:p>
      <w:pPr>
        <w:pStyle w:val="15"/>
        <w:numPr>
          <w:ilvl w:val="0"/>
          <w:numId w:val="6"/>
        </w:numPr>
        <w:tabs>
          <w:tab w:val="left" w:pos="426"/>
          <w:tab w:val="left" w:pos="851"/>
          <w:tab w:val="left" w:pos="1134"/>
        </w:tabs>
        <w:snapToGrid w:val="0"/>
        <w:spacing w:after="156" w:afterLines="50" w:line="460" w:lineRule="atLeast"/>
        <w:ind w:left="840"/>
        <w:outlineLvl w:val="1"/>
        <w:rPr>
          <w:rFonts w:hAnsi="宋体" w:cs="Times New Roman"/>
          <w:bCs/>
          <w:snapToGrid w:val="0"/>
          <w:kern w:val="0"/>
        </w:rPr>
      </w:pPr>
      <w:bookmarkStart w:id="3" w:name="_Toc247371946"/>
      <w:bookmarkStart w:id="4" w:name="_Toc247094153"/>
      <w:bookmarkStart w:id="5" w:name="_Toc241636521"/>
      <w:bookmarkStart w:id="6" w:name="_Toc247371945"/>
      <w:bookmarkStart w:id="7" w:name="_Toc247094152"/>
      <w:r>
        <w:rPr>
          <w:rFonts w:hint="eastAsia" w:hAnsi="宋体" w:cs="Times New Roman"/>
          <w:bCs/>
          <w:snapToGrid w:val="0"/>
          <w:kern w:val="0"/>
        </w:rPr>
        <w:t>货币资金</w:t>
      </w:r>
    </w:p>
    <w:tbl>
      <w:tblPr>
        <w:tblStyle w:val="31"/>
        <w:tblW w:w="8720" w:type="dxa"/>
        <w:jc w:val="center"/>
        <w:tblInd w:w="0" w:type="dxa"/>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3063"/>
        <w:gridCol w:w="2926"/>
        <w:gridCol w:w="2731"/>
      </w:tblGrid>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340" w:hRule="atLeast"/>
          <w:tblHeader/>
          <w:jc w:val="center"/>
        </w:trPr>
        <w:tc>
          <w:tcPr>
            <w:tcW w:w="3063" w:type="dxa"/>
            <w:tcBorders>
              <w:top w:val="single" w:color="000000" w:sz="12" w:space="0"/>
            </w:tcBorders>
            <w:vAlign w:val="center"/>
          </w:tcPr>
          <w:p>
            <w:pPr>
              <w:adjustRightInd w:val="0"/>
              <w:snapToGrid w:val="0"/>
              <w:jc w:val="center"/>
              <w:rPr>
                <w:rFonts w:ascii="宋体" w:hAnsi="宋体"/>
                <w:snapToGrid w:val="0"/>
                <w:kern w:val="0"/>
                <w:sz w:val="18"/>
                <w:szCs w:val="18"/>
              </w:rPr>
            </w:pPr>
            <w:r>
              <w:rPr>
                <w:rFonts w:hint="eastAsia" w:ascii="宋体" w:hAnsi="宋体"/>
                <w:snapToGrid w:val="0"/>
                <w:kern w:val="0"/>
                <w:sz w:val="18"/>
                <w:szCs w:val="18"/>
              </w:rPr>
              <w:t>类    别</w:t>
            </w:r>
          </w:p>
        </w:tc>
        <w:tc>
          <w:tcPr>
            <w:tcW w:w="2926" w:type="dxa"/>
            <w:tcBorders>
              <w:top w:val="single" w:color="000000" w:sz="12" w:space="0"/>
            </w:tcBorders>
            <w:vAlign w:val="center"/>
          </w:tcPr>
          <w:p>
            <w:pPr>
              <w:adjustRightInd w:val="0"/>
              <w:snapToGrid w:val="0"/>
              <w:jc w:val="center"/>
              <w:rPr>
                <w:rFonts w:ascii="宋体" w:hAnsi="宋体"/>
                <w:snapToGrid w:val="0"/>
                <w:kern w:val="0"/>
                <w:sz w:val="18"/>
                <w:szCs w:val="18"/>
              </w:rPr>
            </w:pPr>
            <w:r>
              <w:rPr>
                <w:rFonts w:hint="eastAsia" w:ascii="宋体" w:hAnsi="宋体" w:cs="宋体"/>
                <w:snapToGrid w:val="0"/>
                <w:kern w:val="0"/>
                <w:sz w:val="18"/>
                <w:szCs w:val="18"/>
              </w:rPr>
              <w:t>期末余额</w:t>
            </w:r>
          </w:p>
        </w:tc>
        <w:tc>
          <w:tcPr>
            <w:tcW w:w="2731" w:type="dxa"/>
            <w:tcBorders>
              <w:top w:val="single" w:color="000000" w:sz="12" w:space="0"/>
            </w:tcBorders>
            <w:vAlign w:val="center"/>
          </w:tcPr>
          <w:p>
            <w:pPr>
              <w:adjustRightInd w:val="0"/>
              <w:snapToGrid w:val="0"/>
              <w:jc w:val="center"/>
              <w:rPr>
                <w:rFonts w:ascii="宋体" w:hAnsi="宋体"/>
                <w:snapToGrid w:val="0"/>
                <w:kern w:val="0"/>
                <w:sz w:val="18"/>
                <w:szCs w:val="18"/>
              </w:rPr>
            </w:pPr>
            <w:r>
              <w:rPr>
                <w:rFonts w:hint="eastAsia" w:ascii="宋体" w:hAnsi="宋体" w:cs="宋体"/>
                <w:snapToGrid w:val="0"/>
                <w:kern w:val="0"/>
                <w:sz w:val="18"/>
                <w:szCs w:val="18"/>
              </w:rPr>
              <w:t>期初余额</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340" w:hRule="atLeast"/>
          <w:jc w:val="center"/>
        </w:trPr>
        <w:tc>
          <w:tcPr>
            <w:tcW w:w="3063" w:type="dxa"/>
            <w:vAlign w:val="center"/>
          </w:tcPr>
          <w:p>
            <w:pPr>
              <w:adjustRightInd w:val="0"/>
              <w:snapToGrid w:val="0"/>
              <w:jc w:val="left"/>
              <w:rPr>
                <w:rFonts w:ascii="宋体" w:hAnsi="宋体"/>
                <w:snapToGrid w:val="0"/>
                <w:kern w:val="0"/>
                <w:sz w:val="18"/>
                <w:szCs w:val="18"/>
              </w:rPr>
            </w:pPr>
            <w:r>
              <w:rPr>
                <w:rFonts w:hint="eastAsia" w:ascii="宋体" w:hAnsi="宋体" w:cs="宋体"/>
                <w:snapToGrid w:val="0"/>
                <w:kern w:val="0"/>
                <w:sz w:val="18"/>
                <w:szCs w:val="18"/>
              </w:rPr>
              <w:t>现金</w:t>
            </w:r>
          </w:p>
        </w:tc>
        <w:tc>
          <w:tcPr>
            <w:tcW w:w="2926" w:type="dxa"/>
            <w:vAlign w:val="center"/>
          </w:tcPr>
          <w:p>
            <w:pPr>
              <w:widowControl/>
              <w:jc w:val="right"/>
              <w:textAlignment w:val="center"/>
              <w:rPr>
                <w:rFonts w:ascii="Arial" w:hAnsi="Arial" w:cs="Arial"/>
                <w:color w:val="000000"/>
                <w:sz w:val="18"/>
                <w:szCs w:val="18"/>
              </w:rPr>
            </w:pPr>
            <w:r>
              <w:rPr>
                <w:rFonts w:ascii="Arial" w:hAnsi="Arial" w:cs="Arial"/>
                <w:color w:val="000000"/>
                <w:kern w:val="0"/>
                <w:sz w:val="18"/>
                <w:szCs w:val="18"/>
                <w:lang w:bidi="ar"/>
              </w:rPr>
              <w:t xml:space="preserve"> 633.99 </w:t>
            </w:r>
          </w:p>
        </w:tc>
        <w:tc>
          <w:tcPr>
            <w:tcW w:w="2731" w:type="dxa"/>
            <w:vAlign w:val="center"/>
          </w:tcPr>
          <w:p>
            <w:pPr>
              <w:widowControl/>
              <w:jc w:val="right"/>
              <w:textAlignment w:val="center"/>
              <w:rPr>
                <w:rFonts w:ascii="Arial" w:hAnsi="Arial" w:cs="Arial"/>
                <w:color w:val="000000"/>
                <w:sz w:val="18"/>
                <w:szCs w:val="18"/>
              </w:rPr>
            </w:pPr>
            <w:r>
              <w:rPr>
                <w:rFonts w:ascii="Arial" w:hAnsi="Arial" w:cs="Arial"/>
                <w:color w:val="000000"/>
                <w:kern w:val="0"/>
                <w:sz w:val="18"/>
                <w:szCs w:val="18"/>
                <w:lang w:bidi="ar"/>
              </w:rPr>
              <w:t xml:space="preserve"> 2,004.09 </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340" w:hRule="atLeast"/>
          <w:jc w:val="center"/>
        </w:trPr>
        <w:tc>
          <w:tcPr>
            <w:tcW w:w="3063" w:type="dxa"/>
            <w:vAlign w:val="center"/>
          </w:tcPr>
          <w:p>
            <w:pPr>
              <w:adjustRightInd w:val="0"/>
              <w:snapToGrid w:val="0"/>
              <w:jc w:val="left"/>
              <w:rPr>
                <w:rFonts w:ascii="宋体" w:hAnsi="宋体"/>
                <w:snapToGrid w:val="0"/>
                <w:kern w:val="0"/>
                <w:sz w:val="18"/>
                <w:szCs w:val="18"/>
              </w:rPr>
            </w:pPr>
            <w:r>
              <w:rPr>
                <w:rFonts w:hint="eastAsia" w:ascii="宋体" w:hAnsi="宋体" w:cs="宋体"/>
                <w:snapToGrid w:val="0"/>
                <w:kern w:val="0"/>
                <w:sz w:val="18"/>
                <w:szCs w:val="18"/>
              </w:rPr>
              <w:t>银行存款</w:t>
            </w:r>
          </w:p>
        </w:tc>
        <w:tc>
          <w:tcPr>
            <w:tcW w:w="2926" w:type="dxa"/>
            <w:vAlign w:val="center"/>
          </w:tcPr>
          <w:p>
            <w:pPr>
              <w:widowControl/>
              <w:jc w:val="right"/>
              <w:textAlignment w:val="center"/>
              <w:rPr>
                <w:rFonts w:ascii="Arial" w:hAnsi="Arial" w:cs="Arial"/>
                <w:color w:val="000000"/>
                <w:sz w:val="18"/>
                <w:szCs w:val="18"/>
              </w:rPr>
            </w:pPr>
            <w:r>
              <w:rPr>
                <w:rFonts w:ascii="Arial" w:hAnsi="Arial" w:cs="Arial"/>
                <w:color w:val="000000"/>
                <w:kern w:val="0"/>
                <w:sz w:val="18"/>
                <w:szCs w:val="18"/>
                <w:lang w:bidi="ar"/>
              </w:rPr>
              <w:t xml:space="preserve"> 1,690,799.83 </w:t>
            </w:r>
          </w:p>
        </w:tc>
        <w:tc>
          <w:tcPr>
            <w:tcW w:w="2731" w:type="dxa"/>
            <w:vAlign w:val="center"/>
          </w:tcPr>
          <w:p>
            <w:pPr>
              <w:widowControl/>
              <w:jc w:val="right"/>
              <w:textAlignment w:val="center"/>
              <w:rPr>
                <w:rFonts w:ascii="Arial" w:hAnsi="Arial" w:cs="Arial"/>
                <w:color w:val="000000"/>
                <w:sz w:val="18"/>
                <w:szCs w:val="18"/>
              </w:rPr>
            </w:pPr>
            <w:r>
              <w:rPr>
                <w:rFonts w:ascii="Arial" w:hAnsi="Arial" w:cs="Arial"/>
                <w:color w:val="000000"/>
                <w:kern w:val="0"/>
                <w:sz w:val="18"/>
                <w:szCs w:val="18"/>
                <w:lang w:bidi="ar"/>
              </w:rPr>
              <w:t xml:space="preserve"> 1,517,412.28 </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340" w:hRule="atLeast"/>
          <w:jc w:val="center"/>
        </w:trPr>
        <w:tc>
          <w:tcPr>
            <w:tcW w:w="3063" w:type="dxa"/>
            <w:vAlign w:val="center"/>
          </w:tcPr>
          <w:p>
            <w:pPr>
              <w:adjustRightInd w:val="0"/>
              <w:snapToGrid w:val="0"/>
              <w:jc w:val="center"/>
              <w:rPr>
                <w:rFonts w:ascii="宋体" w:hAnsi="宋体" w:cs="宋体"/>
                <w:snapToGrid w:val="0"/>
                <w:kern w:val="0"/>
                <w:sz w:val="18"/>
                <w:szCs w:val="18"/>
              </w:rPr>
            </w:pPr>
            <w:r>
              <w:rPr>
                <w:rFonts w:hint="eastAsia" w:ascii="宋体" w:hAnsi="宋体" w:cs="宋体"/>
                <w:snapToGrid w:val="0"/>
                <w:kern w:val="0"/>
                <w:sz w:val="18"/>
                <w:szCs w:val="18"/>
              </w:rPr>
              <w:t>合   计</w:t>
            </w:r>
          </w:p>
        </w:tc>
        <w:tc>
          <w:tcPr>
            <w:tcW w:w="2926" w:type="dxa"/>
            <w:vAlign w:val="center"/>
          </w:tcPr>
          <w:p>
            <w:pPr>
              <w:widowControl/>
              <w:jc w:val="right"/>
              <w:textAlignment w:val="center"/>
              <w:rPr>
                <w:rFonts w:ascii="Arial" w:hAnsi="Arial" w:cs="Arial"/>
                <w:snapToGrid w:val="0"/>
                <w:kern w:val="0"/>
                <w:sz w:val="18"/>
                <w:szCs w:val="18"/>
              </w:rPr>
            </w:pPr>
            <w:r>
              <w:rPr>
                <w:rFonts w:ascii="Arial" w:hAnsi="Arial" w:cs="Arial"/>
                <w:color w:val="000000"/>
                <w:kern w:val="0"/>
                <w:sz w:val="18"/>
                <w:szCs w:val="18"/>
                <w:lang w:bidi="ar"/>
              </w:rPr>
              <w:t xml:space="preserve"> 1,691,433.82 </w:t>
            </w:r>
          </w:p>
        </w:tc>
        <w:tc>
          <w:tcPr>
            <w:tcW w:w="2731" w:type="dxa"/>
            <w:vAlign w:val="center"/>
          </w:tcPr>
          <w:p>
            <w:pPr>
              <w:widowControl/>
              <w:jc w:val="right"/>
              <w:textAlignment w:val="center"/>
              <w:rPr>
                <w:rFonts w:ascii="Arial" w:hAnsi="Arial" w:cs="Arial"/>
                <w:color w:val="000000"/>
                <w:sz w:val="18"/>
                <w:szCs w:val="18"/>
              </w:rPr>
            </w:pPr>
            <w:r>
              <w:rPr>
                <w:rFonts w:ascii="Arial" w:hAnsi="Arial" w:cs="Arial"/>
                <w:color w:val="000000"/>
                <w:kern w:val="0"/>
                <w:sz w:val="18"/>
                <w:szCs w:val="18"/>
                <w:lang w:bidi="ar"/>
              </w:rPr>
              <w:t xml:space="preserve"> 1,519,416.37 </w:t>
            </w:r>
          </w:p>
        </w:tc>
      </w:tr>
    </w:tbl>
    <w:p>
      <w:pPr>
        <w:pStyle w:val="15"/>
        <w:numPr>
          <w:ilvl w:val="0"/>
          <w:numId w:val="6"/>
        </w:numPr>
        <w:tabs>
          <w:tab w:val="left" w:pos="426"/>
          <w:tab w:val="left" w:pos="851"/>
          <w:tab w:val="left" w:pos="1134"/>
        </w:tabs>
        <w:snapToGrid w:val="0"/>
        <w:spacing w:line="460" w:lineRule="atLeast"/>
        <w:outlineLvl w:val="1"/>
        <w:rPr>
          <w:rFonts w:hAnsi="宋体" w:cs="Times New Roman"/>
          <w:bCs/>
          <w:snapToGrid w:val="0"/>
          <w:kern w:val="0"/>
        </w:rPr>
      </w:pPr>
      <w:r>
        <w:rPr>
          <w:rFonts w:hint="eastAsia" w:hAnsi="宋体" w:cs="Times New Roman"/>
          <w:bCs/>
          <w:snapToGrid w:val="0"/>
          <w:kern w:val="0"/>
        </w:rPr>
        <w:t>预付款项</w:t>
      </w:r>
    </w:p>
    <w:p>
      <w:pPr>
        <w:snapToGrid w:val="0"/>
        <w:spacing w:after="156" w:afterLines="50" w:line="460" w:lineRule="atLeast"/>
        <w:ind w:firstLine="420" w:firstLineChars="200"/>
        <w:jc w:val="left"/>
        <w:rPr>
          <w:rFonts w:ascii="宋体" w:hAnsi="宋体"/>
          <w:snapToGrid w:val="0"/>
          <w:kern w:val="0"/>
        </w:rPr>
      </w:pPr>
      <w:r>
        <w:rPr>
          <w:rFonts w:hint="eastAsia" w:ascii="宋体" w:hAnsi="宋体"/>
          <w:snapToGrid w:val="0"/>
          <w:kern w:val="0"/>
        </w:rPr>
        <w:t>1、预付款项按账龄列示</w:t>
      </w:r>
    </w:p>
    <w:tbl>
      <w:tblPr>
        <w:tblStyle w:val="31"/>
        <w:tblW w:w="8720" w:type="dxa"/>
        <w:tblInd w:w="93"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745"/>
        <w:gridCol w:w="1743"/>
        <w:gridCol w:w="1744"/>
        <w:gridCol w:w="1744"/>
        <w:gridCol w:w="1744"/>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745" w:type="dxa"/>
            <w:vMerge w:val="restart"/>
            <w:vAlign w:val="center"/>
          </w:tcPr>
          <w:p>
            <w:pPr>
              <w:widowControl/>
              <w:jc w:val="center"/>
              <w:rPr>
                <w:rFonts w:ascii="宋体" w:hAnsi="宋体" w:cs="宋体"/>
                <w:snapToGrid w:val="0"/>
                <w:color w:val="000000"/>
                <w:kern w:val="0"/>
                <w:sz w:val="18"/>
                <w:szCs w:val="18"/>
              </w:rPr>
            </w:pPr>
            <w:r>
              <w:rPr>
                <w:rFonts w:hint="eastAsia" w:ascii="宋体" w:hAnsi="宋体" w:cs="宋体"/>
                <w:snapToGrid w:val="0"/>
                <w:color w:val="000000"/>
                <w:kern w:val="0"/>
                <w:sz w:val="18"/>
                <w:szCs w:val="18"/>
              </w:rPr>
              <w:t>账龄</w:t>
            </w:r>
          </w:p>
        </w:tc>
        <w:tc>
          <w:tcPr>
            <w:tcW w:w="3487" w:type="dxa"/>
            <w:gridSpan w:val="2"/>
            <w:shd w:val="clear" w:color="auto" w:fill="auto"/>
            <w:vAlign w:val="center"/>
          </w:tcPr>
          <w:p>
            <w:pPr>
              <w:widowControl/>
              <w:jc w:val="center"/>
              <w:rPr>
                <w:rFonts w:ascii="宋体" w:hAnsi="宋体" w:cs="宋体"/>
                <w:snapToGrid w:val="0"/>
                <w:color w:val="000000"/>
                <w:kern w:val="0"/>
                <w:sz w:val="18"/>
                <w:szCs w:val="18"/>
              </w:rPr>
            </w:pPr>
            <w:r>
              <w:rPr>
                <w:rFonts w:hint="eastAsia" w:ascii="宋体" w:hAnsi="宋体" w:cs="宋体"/>
                <w:sz w:val="18"/>
                <w:szCs w:val="18"/>
              </w:rPr>
              <w:t>期末余额</w:t>
            </w:r>
          </w:p>
        </w:tc>
        <w:tc>
          <w:tcPr>
            <w:tcW w:w="3488" w:type="dxa"/>
            <w:gridSpan w:val="2"/>
            <w:shd w:val="clear" w:color="auto" w:fill="auto"/>
            <w:vAlign w:val="center"/>
          </w:tcPr>
          <w:p>
            <w:pPr>
              <w:widowControl/>
              <w:jc w:val="center"/>
              <w:rPr>
                <w:rFonts w:ascii="宋体" w:hAnsi="宋体" w:cs="宋体"/>
                <w:snapToGrid w:val="0"/>
                <w:color w:val="000000"/>
                <w:kern w:val="0"/>
                <w:sz w:val="18"/>
                <w:szCs w:val="18"/>
              </w:rPr>
            </w:pPr>
            <w:r>
              <w:rPr>
                <w:sz w:val="18"/>
                <w:szCs w:val="18"/>
              </w:rPr>
              <w:t>期初</w:t>
            </w:r>
            <w:r>
              <w:rPr>
                <w:rFonts w:hint="eastAsia"/>
                <w:sz w:val="18"/>
                <w:szCs w:val="18"/>
              </w:rPr>
              <w:t>余额</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745" w:type="dxa"/>
            <w:vMerge w:val="continue"/>
            <w:vAlign w:val="center"/>
          </w:tcPr>
          <w:p>
            <w:pPr>
              <w:widowControl/>
              <w:jc w:val="left"/>
              <w:rPr>
                <w:rFonts w:ascii="宋体" w:hAnsi="宋体" w:cs="宋体"/>
                <w:snapToGrid w:val="0"/>
                <w:color w:val="000000"/>
                <w:kern w:val="0"/>
                <w:sz w:val="18"/>
                <w:szCs w:val="18"/>
              </w:rPr>
            </w:pPr>
          </w:p>
        </w:tc>
        <w:tc>
          <w:tcPr>
            <w:tcW w:w="1743" w:type="dxa"/>
            <w:shd w:val="clear" w:color="auto" w:fill="auto"/>
            <w:vAlign w:val="center"/>
          </w:tcPr>
          <w:p>
            <w:pPr>
              <w:widowControl/>
              <w:jc w:val="center"/>
              <w:rPr>
                <w:rFonts w:ascii="宋体" w:hAnsi="宋体" w:cs="宋体"/>
                <w:snapToGrid w:val="0"/>
                <w:color w:val="000000"/>
                <w:kern w:val="0"/>
                <w:sz w:val="18"/>
                <w:szCs w:val="18"/>
              </w:rPr>
            </w:pPr>
            <w:r>
              <w:rPr>
                <w:rFonts w:hint="eastAsia" w:ascii="宋体" w:hAnsi="宋体" w:cs="宋体"/>
                <w:snapToGrid w:val="0"/>
                <w:color w:val="000000"/>
                <w:kern w:val="0"/>
                <w:sz w:val="18"/>
                <w:szCs w:val="18"/>
              </w:rPr>
              <w:t>金额</w:t>
            </w:r>
          </w:p>
        </w:tc>
        <w:tc>
          <w:tcPr>
            <w:tcW w:w="1744" w:type="dxa"/>
            <w:shd w:val="clear" w:color="auto" w:fill="auto"/>
            <w:vAlign w:val="center"/>
          </w:tcPr>
          <w:p>
            <w:pPr>
              <w:widowControl/>
              <w:jc w:val="center"/>
              <w:rPr>
                <w:rFonts w:ascii="宋体" w:hAnsi="宋体" w:cs="宋体"/>
                <w:snapToGrid w:val="0"/>
                <w:color w:val="000000"/>
                <w:kern w:val="0"/>
                <w:sz w:val="18"/>
                <w:szCs w:val="18"/>
              </w:rPr>
            </w:pPr>
            <w:r>
              <w:rPr>
                <w:rFonts w:hint="eastAsia" w:ascii="宋体" w:hAnsi="宋体" w:cs="宋体"/>
                <w:snapToGrid w:val="0"/>
                <w:color w:val="000000"/>
                <w:kern w:val="0"/>
                <w:sz w:val="18"/>
                <w:szCs w:val="18"/>
              </w:rPr>
              <w:t>比例</w:t>
            </w:r>
            <w:r>
              <w:rPr>
                <w:rFonts w:ascii="宋体" w:hAnsi="宋体" w:cs="Arial"/>
                <w:snapToGrid w:val="0"/>
                <w:color w:val="000000"/>
                <w:kern w:val="0"/>
                <w:sz w:val="18"/>
                <w:szCs w:val="18"/>
              </w:rPr>
              <w:t>(%)</w:t>
            </w:r>
          </w:p>
        </w:tc>
        <w:tc>
          <w:tcPr>
            <w:tcW w:w="1744" w:type="dxa"/>
            <w:shd w:val="clear" w:color="auto" w:fill="auto"/>
            <w:vAlign w:val="center"/>
          </w:tcPr>
          <w:p>
            <w:pPr>
              <w:widowControl/>
              <w:jc w:val="center"/>
              <w:rPr>
                <w:rFonts w:ascii="宋体" w:hAnsi="宋体" w:cs="宋体"/>
                <w:snapToGrid w:val="0"/>
                <w:color w:val="000000"/>
                <w:kern w:val="0"/>
                <w:sz w:val="18"/>
                <w:szCs w:val="18"/>
              </w:rPr>
            </w:pPr>
            <w:r>
              <w:rPr>
                <w:rFonts w:hint="eastAsia" w:ascii="宋体" w:hAnsi="宋体" w:cs="宋体"/>
                <w:snapToGrid w:val="0"/>
                <w:color w:val="000000"/>
                <w:kern w:val="0"/>
                <w:sz w:val="18"/>
                <w:szCs w:val="18"/>
              </w:rPr>
              <w:t>金额</w:t>
            </w:r>
          </w:p>
        </w:tc>
        <w:tc>
          <w:tcPr>
            <w:tcW w:w="1744" w:type="dxa"/>
            <w:shd w:val="clear" w:color="auto" w:fill="auto"/>
            <w:vAlign w:val="center"/>
          </w:tcPr>
          <w:p>
            <w:pPr>
              <w:widowControl/>
              <w:jc w:val="center"/>
              <w:rPr>
                <w:rFonts w:ascii="宋体" w:hAnsi="宋体" w:cs="宋体"/>
                <w:snapToGrid w:val="0"/>
                <w:color w:val="000000"/>
                <w:kern w:val="0"/>
                <w:sz w:val="18"/>
                <w:szCs w:val="18"/>
              </w:rPr>
            </w:pPr>
            <w:r>
              <w:rPr>
                <w:rFonts w:hint="eastAsia" w:ascii="宋体" w:hAnsi="宋体" w:cs="宋体"/>
                <w:snapToGrid w:val="0"/>
                <w:color w:val="000000"/>
                <w:kern w:val="0"/>
                <w:sz w:val="18"/>
                <w:szCs w:val="18"/>
              </w:rPr>
              <w:t>比例</w:t>
            </w:r>
            <w:r>
              <w:rPr>
                <w:rFonts w:ascii="宋体" w:hAnsi="宋体" w:cs="Arial"/>
                <w:snapToGrid w:val="0"/>
                <w:color w:val="000000"/>
                <w:kern w:val="0"/>
                <w:sz w:val="18"/>
                <w:szCs w:val="18"/>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745" w:type="dxa"/>
            <w:shd w:val="clear" w:color="auto" w:fill="auto"/>
            <w:vAlign w:val="center"/>
          </w:tcPr>
          <w:p>
            <w:pPr>
              <w:widowControl/>
              <w:rPr>
                <w:rFonts w:ascii="宋体" w:hAnsi="宋体" w:cs="宋体"/>
                <w:snapToGrid w:val="0"/>
                <w:color w:val="000000"/>
                <w:kern w:val="0"/>
                <w:sz w:val="18"/>
                <w:szCs w:val="18"/>
              </w:rPr>
            </w:pPr>
            <w:r>
              <w:rPr>
                <w:rFonts w:ascii="宋体" w:hAnsi="宋体" w:cs="宋体"/>
                <w:snapToGrid w:val="0"/>
                <w:color w:val="000000"/>
                <w:kern w:val="0"/>
                <w:sz w:val="18"/>
                <w:szCs w:val="18"/>
              </w:rPr>
              <w:t>1</w:t>
            </w:r>
            <w:r>
              <w:rPr>
                <w:rFonts w:hint="eastAsia" w:ascii="宋体" w:hAnsi="宋体" w:cs="宋体"/>
                <w:snapToGrid w:val="0"/>
                <w:color w:val="000000"/>
                <w:kern w:val="0"/>
                <w:sz w:val="18"/>
                <w:szCs w:val="18"/>
              </w:rPr>
              <w:t>年以内</w:t>
            </w:r>
          </w:p>
        </w:tc>
        <w:tc>
          <w:tcPr>
            <w:tcW w:w="1743" w:type="dxa"/>
            <w:shd w:val="clear" w:color="auto" w:fill="auto"/>
            <w:vAlign w:val="center"/>
          </w:tcPr>
          <w:p>
            <w:pPr>
              <w:widowControl/>
              <w:jc w:val="right"/>
              <w:textAlignment w:val="center"/>
              <w:rPr>
                <w:rFonts w:ascii="Arial" w:hAnsi="Arial" w:cs="Arial"/>
                <w:color w:val="000000"/>
                <w:sz w:val="18"/>
                <w:szCs w:val="18"/>
              </w:rPr>
            </w:pPr>
            <w:r>
              <w:rPr>
                <w:rFonts w:ascii="Arial" w:hAnsi="Arial" w:cs="Arial"/>
                <w:color w:val="000000"/>
                <w:kern w:val="0"/>
                <w:sz w:val="18"/>
                <w:szCs w:val="18"/>
                <w:lang w:bidi="ar"/>
              </w:rPr>
              <w:t xml:space="preserve"> 28,210.50 </w:t>
            </w:r>
          </w:p>
        </w:tc>
        <w:tc>
          <w:tcPr>
            <w:tcW w:w="1744" w:type="dxa"/>
            <w:shd w:val="clear" w:color="auto" w:fill="auto"/>
            <w:vAlign w:val="center"/>
          </w:tcPr>
          <w:p>
            <w:pPr>
              <w:widowControl/>
              <w:jc w:val="right"/>
              <w:textAlignment w:val="center"/>
              <w:rPr>
                <w:rFonts w:ascii="Arial" w:hAnsi="Arial" w:cs="Arial"/>
                <w:color w:val="000000"/>
                <w:sz w:val="18"/>
                <w:szCs w:val="18"/>
              </w:rPr>
            </w:pPr>
            <w:r>
              <w:rPr>
                <w:rFonts w:ascii="Arial" w:hAnsi="Arial" w:cs="Arial"/>
                <w:color w:val="000000"/>
                <w:kern w:val="0"/>
                <w:sz w:val="18"/>
                <w:szCs w:val="18"/>
                <w:lang w:bidi="ar"/>
              </w:rPr>
              <w:t xml:space="preserve"> 100.00 </w:t>
            </w:r>
          </w:p>
        </w:tc>
        <w:tc>
          <w:tcPr>
            <w:tcW w:w="1744" w:type="dxa"/>
            <w:shd w:val="clear" w:color="auto" w:fill="auto"/>
            <w:vAlign w:val="center"/>
          </w:tcPr>
          <w:p>
            <w:pPr>
              <w:widowControl/>
              <w:jc w:val="right"/>
              <w:textAlignment w:val="center"/>
              <w:rPr>
                <w:rFonts w:ascii="Arial" w:hAnsi="Arial" w:cs="Arial"/>
                <w:color w:val="000000"/>
                <w:sz w:val="18"/>
                <w:szCs w:val="18"/>
              </w:rPr>
            </w:pPr>
            <w:r>
              <w:rPr>
                <w:rFonts w:ascii="Arial" w:hAnsi="Arial" w:cs="Arial"/>
                <w:color w:val="000000"/>
                <w:kern w:val="0"/>
                <w:sz w:val="18"/>
                <w:szCs w:val="18"/>
                <w:lang w:bidi="ar"/>
              </w:rPr>
              <w:t>　</w:t>
            </w:r>
          </w:p>
        </w:tc>
        <w:tc>
          <w:tcPr>
            <w:tcW w:w="1744" w:type="dxa"/>
            <w:shd w:val="clear" w:color="auto" w:fill="auto"/>
            <w:vAlign w:val="center"/>
          </w:tcPr>
          <w:p>
            <w:pPr>
              <w:widowControl/>
              <w:jc w:val="right"/>
              <w:textAlignment w:val="center"/>
              <w:rPr>
                <w:rFonts w:ascii="Arial" w:hAnsi="Arial" w:cs="Arial"/>
                <w:color w:val="000000"/>
                <w:sz w:val="18"/>
                <w:szCs w:val="18"/>
              </w:rPr>
            </w:pPr>
            <w:r>
              <w:rPr>
                <w:rFonts w:ascii="Arial" w:hAnsi="Arial" w:cs="Arial"/>
                <w:color w:val="000000"/>
                <w:kern w:val="0"/>
                <w:sz w:val="18"/>
                <w:szCs w:val="18"/>
                <w:lang w:bidi="ar"/>
              </w:rPr>
              <w:t>　</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745" w:type="dxa"/>
            <w:shd w:val="clear" w:color="auto" w:fill="auto"/>
            <w:vAlign w:val="center"/>
          </w:tcPr>
          <w:p>
            <w:pPr>
              <w:widowControl/>
              <w:rPr>
                <w:rFonts w:ascii="宋体" w:hAnsi="宋体" w:cs="宋体"/>
                <w:snapToGrid w:val="0"/>
                <w:color w:val="000000"/>
                <w:kern w:val="0"/>
                <w:sz w:val="18"/>
                <w:szCs w:val="18"/>
              </w:rPr>
            </w:pPr>
            <w:r>
              <w:rPr>
                <w:rFonts w:ascii="宋体" w:hAnsi="宋体" w:cs="宋体"/>
                <w:snapToGrid w:val="0"/>
                <w:color w:val="000000"/>
                <w:kern w:val="0"/>
                <w:sz w:val="18"/>
                <w:szCs w:val="18"/>
              </w:rPr>
              <w:t>1</w:t>
            </w:r>
            <w:r>
              <w:rPr>
                <w:rFonts w:hint="eastAsia" w:ascii="宋体" w:hAnsi="宋体" w:cs="宋体"/>
                <w:snapToGrid w:val="0"/>
                <w:color w:val="000000"/>
                <w:kern w:val="0"/>
                <w:sz w:val="18"/>
                <w:szCs w:val="18"/>
              </w:rPr>
              <w:t>至</w:t>
            </w:r>
            <w:r>
              <w:rPr>
                <w:rFonts w:ascii="宋体" w:hAnsi="宋体" w:cs="宋体"/>
                <w:snapToGrid w:val="0"/>
                <w:color w:val="000000"/>
                <w:kern w:val="0"/>
                <w:sz w:val="18"/>
                <w:szCs w:val="18"/>
              </w:rPr>
              <w:t>2</w:t>
            </w:r>
            <w:r>
              <w:rPr>
                <w:rFonts w:hint="eastAsia" w:ascii="宋体" w:hAnsi="宋体" w:cs="宋体"/>
                <w:snapToGrid w:val="0"/>
                <w:color w:val="000000"/>
                <w:kern w:val="0"/>
                <w:sz w:val="18"/>
                <w:szCs w:val="18"/>
              </w:rPr>
              <w:t>年</w:t>
            </w:r>
          </w:p>
        </w:tc>
        <w:tc>
          <w:tcPr>
            <w:tcW w:w="1743" w:type="dxa"/>
            <w:shd w:val="clear" w:color="auto" w:fill="auto"/>
            <w:vAlign w:val="center"/>
          </w:tcPr>
          <w:p>
            <w:pPr>
              <w:jc w:val="right"/>
              <w:rPr>
                <w:rFonts w:ascii="Arial" w:hAnsi="Arial" w:cs="Arial"/>
                <w:color w:val="000000"/>
                <w:sz w:val="18"/>
                <w:szCs w:val="18"/>
              </w:rPr>
            </w:pPr>
          </w:p>
        </w:tc>
        <w:tc>
          <w:tcPr>
            <w:tcW w:w="1744" w:type="dxa"/>
            <w:shd w:val="clear" w:color="auto" w:fill="auto"/>
            <w:vAlign w:val="center"/>
          </w:tcPr>
          <w:p>
            <w:pPr>
              <w:jc w:val="right"/>
              <w:rPr>
                <w:rFonts w:ascii="Arial" w:hAnsi="Arial" w:cs="Arial"/>
                <w:color w:val="000000"/>
                <w:sz w:val="18"/>
                <w:szCs w:val="18"/>
              </w:rPr>
            </w:pPr>
          </w:p>
        </w:tc>
        <w:tc>
          <w:tcPr>
            <w:tcW w:w="1744" w:type="dxa"/>
            <w:shd w:val="clear" w:color="auto" w:fill="auto"/>
            <w:vAlign w:val="center"/>
          </w:tcPr>
          <w:p>
            <w:pPr>
              <w:widowControl/>
              <w:jc w:val="right"/>
              <w:textAlignment w:val="center"/>
              <w:rPr>
                <w:rFonts w:ascii="Arial" w:hAnsi="Arial" w:cs="Arial"/>
                <w:color w:val="000000"/>
                <w:sz w:val="18"/>
                <w:szCs w:val="18"/>
              </w:rPr>
            </w:pPr>
            <w:r>
              <w:rPr>
                <w:rFonts w:ascii="Arial" w:hAnsi="Arial" w:cs="Arial"/>
                <w:color w:val="000000"/>
                <w:kern w:val="0"/>
                <w:sz w:val="18"/>
                <w:szCs w:val="18"/>
                <w:lang w:bidi="ar"/>
              </w:rPr>
              <w:t>　</w:t>
            </w:r>
          </w:p>
        </w:tc>
        <w:tc>
          <w:tcPr>
            <w:tcW w:w="1744" w:type="dxa"/>
            <w:shd w:val="clear" w:color="auto" w:fill="auto"/>
            <w:vAlign w:val="center"/>
          </w:tcPr>
          <w:p>
            <w:pPr>
              <w:widowControl/>
              <w:jc w:val="right"/>
              <w:textAlignment w:val="center"/>
              <w:rPr>
                <w:rFonts w:ascii="Arial" w:hAnsi="Arial" w:cs="Arial"/>
                <w:color w:val="000000"/>
                <w:sz w:val="18"/>
                <w:szCs w:val="18"/>
              </w:rPr>
            </w:pPr>
            <w:r>
              <w:rPr>
                <w:rFonts w:ascii="Arial" w:hAnsi="Arial" w:cs="Arial"/>
                <w:color w:val="000000"/>
                <w:kern w:val="0"/>
                <w:sz w:val="18"/>
                <w:szCs w:val="18"/>
                <w:lang w:bidi="ar"/>
              </w:rPr>
              <w:t>　</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745" w:type="dxa"/>
            <w:shd w:val="clear" w:color="auto" w:fill="auto"/>
            <w:vAlign w:val="center"/>
          </w:tcPr>
          <w:p>
            <w:pPr>
              <w:widowControl/>
              <w:rPr>
                <w:rFonts w:ascii="宋体" w:hAnsi="宋体" w:cs="宋体"/>
                <w:snapToGrid w:val="0"/>
                <w:color w:val="000000"/>
                <w:kern w:val="0"/>
                <w:sz w:val="18"/>
                <w:szCs w:val="18"/>
              </w:rPr>
            </w:pPr>
            <w:r>
              <w:rPr>
                <w:rFonts w:ascii="宋体" w:hAnsi="宋体" w:cs="宋体"/>
                <w:snapToGrid w:val="0"/>
                <w:color w:val="000000"/>
                <w:kern w:val="0"/>
                <w:sz w:val="18"/>
                <w:szCs w:val="18"/>
              </w:rPr>
              <w:t>2</w:t>
            </w:r>
            <w:r>
              <w:rPr>
                <w:rFonts w:hint="eastAsia" w:ascii="宋体" w:hAnsi="宋体" w:cs="宋体"/>
                <w:snapToGrid w:val="0"/>
                <w:color w:val="000000"/>
                <w:kern w:val="0"/>
                <w:sz w:val="18"/>
                <w:szCs w:val="18"/>
              </w:rPr>
              <w:t>至</w:t>
            </w:r>
            <w:r>
              <w:rPr>
                <w:rFonts w:ascii="宋体" w:hAnsi="宋体" w:cs="宋体"/>
                <w:snapToGrid w:val="0"/>
                <w:color w:val="000000"/>
                <w:kern w:val="0"/>
                <w:sz w:val="18"/>
                <w:szCs w:val="18"/>
              </w:rPr>
              <w:t>3</w:t>
            </w:r>
            <w:r>
              <w:rPr>
                <w:rFonts w:hint="eastAsia" w:ascii="宋体" w:hAnsi="宋体" w:cs="宋体"/>
                <w:snapToGrid w:val="0"/>
                <w:color w:val="000000"/>
                <w:kern w:val="0"/>
                <w:sz w:val="18"/>
                <w:szCs w:val="18"/>
              </w:rPr>
              <w:t>年</w:t>
            </w:r>
          </w:p>
        </w:tc>
        <w:tc>
          <w:tcPr>
            <w:tcW w:w="1743" w:type="dxa"/>
            <w:shd w:val="clear" w:color="auto" w:fill="auto"/>
            <w:vAlign w:val="center"/>
          </w:tcPr>
          <w:p>
            <w:pPr>
              <w:jc w:val="right"/>
              <w:rPr>
                <w:rFonts w:ascii="Arial" w:hAnsi="Arial" w:cs="Arial"/>
                <w:color w:val="000000"/>
                <w:sz w:val="18"/>
                <w:szCs w:val="18"/>
              </w:rPr>
            </w:pPr>
          </w:p>
        </w:tc>
        <w:tc>
          <w:tcPr>
            <w:tcW w:w="1744" w:type="dxa"/>
            <w:shd w:val="clear" w:color="auto" w:fill="auto"/>
            <w:vAlign w:val="center"/>
          </w:tcPr>
          <w:p>
            <w:pPr>
              <w:jc w:val="right"/>
              <w:rPr>
                <w:rFonts w:ascii="Arial" w:hAnsi="Arial" w:cs="Arial"/>
                <w:color w:val="000000"/>
                <w:sz w:val="18"/>
                <w:szCs w:val="18"/>
              </w:rPr>
            </w:pPr>
          </w:p>
        </w:tc>
        <w:tc>
          <w:tcPr>
            <w:tcW w:w="1744" w:type="dxa"/>
            <w:shd w:val="clear" w:color="auto" w:fill="auto"/>
            <w:vAlign w:val="center"/>
          </w:tcPr>
          <w:p>
            <w:pPr>
              <w:widowControl/>
              <w:jc w:val="right"/>
              <w:textAlignment w:val="center"/>
              <w:rPr>
                <w:rFonts w:ascii="Arial" w:hAnsi="Arial" w:cs="Arial"/>
                <w:color w:val="000000"/>
                <w:sz w:val="18"/>
                <w:szCs w:val="18"/>
              </w:rPr>
            </w:pPr>
            <w:r>
              <w:rPr>
                <w:rFonts w:ascii="Arial" w:hAnsi="Arial" w:cs="Arial"/>
                <w:color w:val="000000"/>
                <w:kern w:val="0"/>
                <w:sz w:val="18"/>
                <w:szCs w:val="18"/>
                <w:lang w:bidi="ar"/>
              </w:rPr>
              <w:t>　</w:t>
            </w:r>
          </w:p>
        </w:tc>
        <w:tc>
          <w:tcPr>
            <w:tcW w:w="1744" w:type="dxa"/>
            <w:shd w:val="clear" w:color="auto" w:fill="auto"/>
            <w:vAlign w:val="center"/>
          </w:tcPr>
          <w:p>
            <w:pPr>
              <w:widowControl/>
              <w:jc w:val="right"/>
              <w:textAlignment w:val="center"/>
              <w:rPr>
                <w:rFonts w:ascii="Arial" w:hAnsi="Arial" w:cs="Arial"/>
                <w:color w:val="000000"/>
                <w:sz w:val="18"/>
                <w:szCs w:val="18"/>
              </w:rPr>
            </w:pPr>
            <w:r>
              <w:rPr>
                <w:rFonts w:ascii="Arial" w:hAnsi="Arial" w:cs="Arial"/>
                <w:color w:val="000000"/>
                <w:kern w:val="0"/>
                <w:sz w:val="18"/>
                <w:szCs w:val="18"/>
                <w:lang w:bidi="ar"/>
              </w:rPr>
              <w:t>　</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745" w:type="dxa"/>
            <w:shd w:val="clear" w:color="auto" w:fill="auto"/>
            <w:vAlign w:val="center"/>
          </w:tcPr>
          <w:p>
            <w:pPr>
              <w:widowControl/>
              <w:rPr>
                <w:rFonts w:ascii="宋体" w:hAnsi="宋体" w:cs="宋体"/>
                <w:snapToGrid w:val="0"/>
                <w:color w:val="000000"/>
                <w:kern w:val="0"/>
                <w:sz w:val="18"/>
                <w:szCs w:val="18"/>
              </w:rPr>
            </w:pPr>
            <w:r>
              <w:rPr>
                <w:rFonts w:hint="eastAsia" w:ascii="宋体" w:hAnsi="宋体" w:cs="宋体"/>
                <w:snapToGrid w:val="0"/>
                <w:color w:val="000000"/>
                <w:kern w:val="0"/>
                <w:sz w:val="18"/>
                <w:szCs w:val="18"/>
              </w:rPr>
              <w:t>3年以上</w:t>
            </w:r>
          </w:p>
        </w:tc>
        <w:tc>
          <w:tcPr>
            <w:tcW w:w="1743" w:type="dxa"/>
            <w:shd w:val="clear" w:color="auto" w:fill="auto"/>
            <w:vAlign w:val="center"/>
          </w:tcPr>
          <w:p>
            <w:pPr>
              <w:jc w:val="right"/>
              <w:rPr>
                <w:rFonts w:ascii="Arial" w:hAnsi="Arial" w:cs="Arial"/>
                <w:color w:val="000000"/>
                <w:sz w:val="18"/>
                <w:szCs w:val="18"/>
              </w:rPr>
            </w:pPr>
          </w:p>
        </w:tc>
        <w:tc>
          <w:tcPr>
            <w:tcW w:w="1744" w:type="dxa"/>
            <w:shd w:val="clear" w:color="auto" w:fill="auto"/>
            <w:vAlign w:val="center"/>
          </w:tcPr>
          <w:p>
            <w:pPr>
              <w:jc w:val="right"/>
              <w:rPr>
                <w:rFonts w:ascii="Arial" w:hAnsi="Arial" w:cs="Arial"/>
                <w:color w:val="000000"/>
                <w:sz w:val="18"/>
                <w:szCs w:val="18"/>
              </w:rPr>
            </w:pPr>
          </w:p>
        </w:tc>
        <w:tc>
          <w:tcPr>
            <w:tcW w:w="1744" w:type="dxa"/>
            <w:shd w:val="clear" w:color="auto" w:fill="auto"/>
            <w:vAlign w:val="center"/>
          </w:tcPr>
          <w:p>
            <w:pPr>
              <w:widowControl/>
              <w:jc w:val="right"/>
              <w:textAlignment w:val="center"/>
              <w:rPr>
                <w:rFonts w:ascii="Arial" w:hAnsi="Arial" w:cs="Arial"/>
                <w:color w:val="000000"/>
                <w:sz w:val="18"/>
                <w:szCs w:val="18"/>
              </w:rPr>
            </w:pPr>
            <w:r>
              <w:rPr>
                <w:rFonts w:ascii="Arial" w:hAnsi="Arial" w:cs="Arial"/>
                <w:color w:val="000000"/>
                <w:kern w:val="0"/>
                <w:sz w:val="18"/>
                <w:szCs w:val="18"/>
                <w:lang w:bidi="ar"/>
              </w:rPr>
              <w:t>　</w:t>
            </w:r>
          </w:p>
        </w:tc>
        <w:tc>
          <w:tcPr>
            <w:tcW w:w="1744" w:type="dxa"/>
            <w:shd w:val="clear" w:color="auto" w:fill="auto"/>
            <w:vAlign w:val="center"/>
          </w:tcPr>
          <w:p>
            <w:pPr>
              <w:widowControl/>
              <w:jc w:val="right"/>
              <w:textAlignment w:val="center"/>
              <w:rPr>
                <w:rFonts w:ascii="Arial" w:hAnsi="Arial" w:cs="Arial"/>
                <w:color w:val="000000"/>
                <w:sz w:val="18"/>
                <w:szCs w:val="18"/>
              </w:rPr>
            </w:pPr>
            <w:r>
              <w:rPr>
                <w:rFonts w:ascii="Arial" w:hAnsi="Arial" w:cs="Arial"/>
                <w:color w:val="000000"/>
                <w:kern w:val="0"/>
                <w:sz w:val="18"/>
                <w:szCs w:val="18"/>
                <w:lang w:bidi="ar"/>
              </w:rPr>
              <w:t>　</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745" w:type="dxa"/>
            <w:shd w:val="clear" w:color="auto" w:fill="auto"/>
            <w:vAlign w:val="center"/>
          </w:tcPr>
          <w:p>
            <w:pPr>
              <w:widowControl/>
              <w:jc w:val="center"/>
              <w:rPr>
                <w:rFonts w:ascii="宋体" w:hAnsi="宋体" w:cs="宋体"/>
                <w:snapToGrid w:val="0"/>
                <w:color w:val="000000"/>
                <w:kern w:val="0"/>
                <w:sz w:val="18"/>
                <w:szCs w:val="18"/>
              </w:rPr>
            </w:pPr>
            <w:r>
              <w:rPr>
                <w:rFonts w:hint="eastAsia" w:ascii="宋体" w:hAnsi="宋体" w:cs="宋体"/>
                <w:snapToGrid w:val="0"/>
                <w:color w:val="000000"/>
                <w:kern w:val="0"/>
                <w:sz w:val="18"/>
                <w:szCs w:val="18"/>
              </w:rPr>
              <w:t>合</w:t>
            </w:r>
            <w:r>
              <w:rPr>
                <w:rFonts w:ascii="宋体" w:hAnsi="宋体" w:cs="宋体"/>
                <w:snapToGrid w:val="0"/>
                <w:color w:val="000000"/>
                <w:kern w:val="0"/>
                <w:sz w:val="18"/>
                <w:szCs w:val="18"/>
              </w:rPr>
              <w:t xml:space="preserve">   </w:t>
            </w:r>
            <w:r>
              <w:rPr>
                <w:rFonts w:hint="eastAsia" w:ascii="宋体" w:hAnsi="宋体" w:cs="宋体"/>
                <w:snapToGrid w:val="0"/>
                <w:color w:val="000000"/>
                <w:kern w:val="0"/>
                <w:sz w:val="18"/>
                <w:szCs w:val="18"/>
              </w:rPr>
              <w:t>计</w:t>
            </w:r>
          </w:p>
        </w:tc>
        <w:tc>
          <w:tcPr>
            <w:tcW w:w="1743" w:type="dxa"/>
            <w:shd w:val="clear" w:color="auto" w:fill="auto"/>
            <w:vAlign w:val="center"/>
          </w:tcPr>
          <w:p>
            <w:pPr>
              <w:widowControl/>
              <w:jc w:val="right"/>
              <w:textAlignment w:val="center"/>
              <w:rPr>
                <w:rFonts w:ascii="Arial" w:hAnsi="Arial" w:cs="Arial"/>
                <w:color w:val="000000"/>
                <w:sz w:val="18"/>
                <w:szCs w:val="18"/>
              </w:rPr>
            </w:pPr>
            <w:r>
              <w:rPr>
                <w:rFonts w:ascii="Arial" w:hAnsi="Arial" w:cs="Arial"/>
                <w:color w:val="000000"/>
                <w:kern w:val="0"/>
                <w:sz w:val="18"/>
                <w:szCs w:val="18"/>
                <w:lang w:bidi="ar"/>
              </w:rPr>
              <w:t xml:space="preserve"> 28,210.50 </w:t>
            </w:r>
          </w:p>
        </w:tc>
        <w:tc>
          <w:tcPr>
            <w:tcW w:w="1744" w:type="dxa"/>
            <w:shd w:val="clear" w:color="auto" w:fill="auto"/>
            <w:vAlign w:val="center"/>
          </w:tcPr>
          <w:p>
            <w:pPr>
              <w:widowControl/>
              <w:jc w:val="right"/>
              <w:textAlignment w:val="center"/>
              <w:rPr>
                <w:rFonts w:ascii="Arial" w:hAnsi="Arial" w:cs="Arial"/>
                <w:color w:val="000000"/>
                <w:sz w:val="18"/>
                <w:szCs w:val="18"/>
              </w:rPr>
            </w:pPr>
            <w:r>
              <w:rPr>
                <w:rFonts w:ascii="Arial" w:hAnsi="Arial" w:cs="Arial"/>
                <w:color w:val="000000"/>
                <w:kern w:val="0"/>
                <w:sz w:val="18"/>
                <w:szCs w:val="18"/>
                <w:lang w:bidi="ar"/>
              </w:rPr>
              <w:t xml:space="preserve"> 100.00 </w:t>
            </w:r>
          </w:p>
        </w:tc>
        <w:tc>
          <w:tcPr>
            <w:tcW w:w="1744" w:type="dxa"/>
            <w:shd w:val="clear" w:color="auto" w:fill="auto"/>
            <w:vAlign w:val="center"/>
          </w:tcPr>
          <w:p>
            <w:pPr>
              <w:widowControl/>
              <w:jc w:val="right"/>
              <w:textAlignment w:val="center"/>
              <w:rPr>
                <w:rFonts w:ascii="Arial" w:hAnsi="Arial" w:cs="Arial"/>
                <w:color w:val="000000"/>
                <w:sz w:val="18"/>
                <w:szCs w:val="18"/>
              </w:rPr>
            </w:pPr>
            <w:r>
              <w:rPr>
                <w:rFonts w:ascii="Arial" w:hAnsi="Arial" w:cs="Arial"/>
                <w:color w:val="000000"/>
                <w:kern w:val="0"/>
                <w:sz w:val="18"/>
                <w:szCs w:val="18"/>
                <w:lang w:bidi="ar"/>
              </w:rPr>
              <w:t>　</w:t>
            </w:r>
          </w:p>
        </w:tc>
        <w:tc>
          <w:tcPr>
            <w:tcW w:w="1744" w:type="dxa"/>
            <w:shd w:val="clear" w:color="auto" w:fill="auto"/>
            <w:vAlign w:val="center"/>
          </w:tcPr>
          <w:p>
            <w:pPr>
              <w:widowControl/>
              <w:jc w:val="right"/>
              <w:textAlignment w:val="center"/>
              <w:rPr>
                <w:rFonts w:ascii="Arial" w:hAnsi="Arial" w:cs="Arial"/>
                <w:color w:val="000000"/>
                <w:sz w:val="18"/>
                <w:szCs w:val="18"/>
              </w:rPr>
            </w:pPr>
            <w:r>
              <w:rPr>
                <w:rFonts w:ascii="Arial" w:hAnsi="Arial" w:cs="Arial"/>
                <w:color w:val="000000"/>
                <w:kern w:val="0"/>
                <w:sz w:val="18"/>
                <w:szCs w:val="18"/>
                <w:lang w:bidi="ar"/>
              </w:rPr>
              <w:t>　</w:t>
            </w:r>
          </w:p>
        </w:tc>
      </w:tr>
    </w:tbl>
    <w:p>
      <w:pPr>
        <w:adjustRightInd w:val="0"/>
        <w:snapToGrid w:val="0"/>
        <w:spacing w:after="156" w:afterLines="50" w:line="460" w:lineRule="atLeast"/>
        <w:ind w:firstLine="420" w:firstLineChars="200"/>
        <w:jc w:val="left"/>
        <w:rPr>
          <w:rFonts w:ascii="宋体" w:hAnsi="宋体"/>
          <w:snapToGrid w:val="0"/>
          <w:kern w:val="0"/>
        </w:rPr>
      </w:pPr>
      <w:r>
        <w:rPr>
          <w:rFonts w:hint="eastAsia" w:ascii="宋体" w:hAnsi="宋体"/>
          <w:snapToGrid w:val="0"/>
          <w:kern w:val="0"/>
        </w:rPr>
        <w:t>2、预付款项金额前五名单位情况</w:t>
      </w:r>
    </w:p>
    <w:tbl>
      <w:tblPr>
        <w:tblStyle w:val="31"/>
        <w:tblW w:w="8755" w:type="dxa"/>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3368"/>
        <w:gridCol w:w="2268"/>
        <w:gridCol w:w="3119"/>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blHeader/>
        </w:trPr>
        <w:tc>
          <w:tcPr>
            <w:tcW w:w="3368" w:type="dxa"/>
            <w:tcBorders>
              <w:top w:val="single" w:color="auto" w:sz="12" w:space="0"/>
            </w:tcBorders>
            <w:vAlign w:val="center"/>
          </w:tcPr>
          <w:p>
            <w:pPr>
              <w:adjustRightInd w:val="0"/>
              <w:snapToGrid w:val="0"/>
              <w:jc w:val="center"/>
              <w:rPr>
                <w:rFonts w:ascii="宋体" w:hAnsi="宋体" w:cs="Arial Narrow"/>
                <w:kern w:val="0"/>
                <w:sz w:val="18"/>
                <w:szCs w:val="18"/>
              </w:rPr>
            </w:pPr>
            <w:r>
              <w:rPr>
                <w:rFonts w:hint="eastAsia" w:ascii="宋体" w:hAnsi="宋体" w:cs="宋体"/>
                <w:sz w:val="18"/>
                <w:szCs w:val="18"/>
              </w:rPr>
              <w:t>单位名称</w:t>
            </w:r>
          </w:p>
        </w:tc>
        <w:tc>
          <w:tcPr>
            <w:tcW w:w="2268" w:type="dxa"/>
            <w:tcBorders>
              <w:top w:val="single" w:color="auto" w:sz="12" w:space="0"/>
            </w:tcBorders>
            <w:vAlign w:val="center"/>
          </w:tcPr>
          <w:p>
            <w:pPr>
              <w:adjustRightInd w:val="0"/>
              <w:snapToGrid w:val="0"/>
              <w:jc w:val="center"/>
              <w:rPr>
                <w:rFonts w:ascii="宋体" w:hAnsi="宋体" w:cs="Arial Narrow"/>
                <w:kern w:val="0"/>
                <w:sz w:val="18"/>
                <w:szCs w:val="18"/>
              </w:rPr>
            </w:pPr>
            <w:r>
              <w:rPr>
                <w:rFonts w:hint="eastAsia" w:ascii="宋体" w:hAnsi="宋体" w:cs="宋体"/>
                <w:sz w:val="18"/>
                <w:szCs w:val="18"/>
              </w:rPr>
              <w:t>期末余额</w:t>
            </w:r>
          </w:p>
        </w:tc>
        <w:tc>
          <w:tcPr>
            <w:tcW w:w="3119" w:type="dxa"/>
            <w:tcBorders>
              <w:top w:val="single" w:color="auto" w:sz="12" w:space="0"/>
            </w:tcBorders>
            <w:vAlign w:val="center"/>
          </w:tcPr>
          <w:p>
            <w:pPr>
              <w:adjustRightInd w:val="0"/>
              <w:snapToGrid w:val="0"/>
              <w:jc w:val="center"/>
              <w:rPr>
                <w:rFonts w:ascii="宋体" w:hAnsi="宋体" w:cs="Arial Narrow"/>
                <w:kern w:val="0"/>
                <w:sz w:val="18"/>
                <w:szCs w:val="18"/>
              </w:rPr>
            </w:pPr>
            <w:r>
              <w:rPr>
                <w:rFonts w:hint="eastAsia" w:ascii="宋体" w:hAnsi="宋体" w:cs="宋体"/>
                <w:sz w:val="18"/>
                <w:szCs w:val="18"/>
              </w:rPr>
              <w:t>占预付款项总额的比例</w:t>
            </w:r>
            <w:r>
              <w:rPr>
                <w:rFonts w:ascii="宋体" w:hAnsi="宋体" w:cs="Arial Narrow"/>
                <w:sz w:val="18"/>
                <w:szCs w:val="18"/>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3368" w:type="dxa"/>
            <w:vAlign w:val="center"/>
          </w:tcPr>
          <w:p>
            <w:pPr>
              <w:widowControl/>
              <w:textAlignment w:val="center"/>
              <w:rPr>
                <w:sz w:val="18"/>
                <w:szCs w:val="18"/>
              </w:rPr>
            </w:pPr>
            <w:r>
              <w:rPr>
                <w:rFonts w:hint="eastAsia" w:ascii="宋体" w:hAnsi="宋体" w:cs="宋体"/>
                <w:color w:val="000000"/>
                <w:kern w:val="0"/>
                <w:sz w:val="18"/>
                <w:szCs w:val="18"/>
                <w:lang w:bidi="ar"/>
              </w:rPr>
              <w:t>广东绿洲国际旅行社有限公司</w:t>
            </w:r>
          </w:p>
        </w:tc>
        <w:tc>
          <w:tcPr>
            <w:tcW w:w="2268" w:type="dxa"/>
            <w:vAlign w:val="center"/>
          </w:tcPr>
          <w:p>
            <w:pPr>
              <w:widowControl/>
              <w:jc w:val="right"/>
              <w:textAlignment w:val="center"/>
              <w:rPr>
                <w:rFonts w:ascii="Arial Narrow" w:hAnsi="Arial Narrow"/>
                <w:color w:val="000000"/>
                <w:sz w:val="18"/>
                <w:szCs w:val="18"/>
              </w:rPr>
            </w:pPr>
            <w:r>
              <w:rPr>
                <w:rFonts w:ascii="Arial" w:hAnsi="Arial" w:cs="Arial"/>
                <w:color w:val="000000"/>
                <w:kern w:val="0"/>
                <w:sz w:val="18"/>
                <w:szCs w:val="18"/>
                <w:lang w:bidi="ar"/>
              </w:rPr>
              <w:t xml:space="preserve"> 16,198.00 </w:t>
            </w:r>
          </w:p>
        </w:tc>
        <w:tc>
          <w:tcPr>
            <w:tcW w:w="3119" w:type="dxa"/>
            <w:vAlign w:val="center"/>
          </w:tcPr>
          <w:p>
            <w:pPr>
              <w:widowControl/>
              <w:jc w:val="right"/>
              <w:textAlignment w:val="center"/>
              <w:rPr>
                <w:rFonts w:ascii="Arial Narrow" w:hAnsi="Arial Narrow"/>
                <w:color w:val="000000"/>
                <w:sz w:val="18"/>
                <w:szCs w:val="18"/>
              </w:rPr>
            </w:pPr>
            <w:r>
              <w:rPr>
                <w:rFonts w:ascii="Arial" w:hAnsi="Arial" w:cs="Arial"/>
                <w:color w:val="000000"/>
                <w:kern w:val="0"/>
                <w:sz w:val="18"/>
                <w:szCs w:val="18"/>
                <w:lang w:bidi="ar"/>
              </w:rPr>
              <w:t xml:space="preserve"> 57.42 </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3368" w:type="dxa"/>
            <w:vAlign w:val="center"/>
          </w:tcPr>
          <w:p>
            <w:pPr>
              <w:widowControl/>
              <w:textAlignment w:val="center"/>
              <w:rPr>
                <w:rFonts w:ascii="宋体" w:hAnsi="宋体" w:cs="Arial Narrow"/>
                <w:sz w:val="18"/>
                <w:szCs w:val="18"/>
              </w:rPr>
            </w:pPr>
            <w:r>
              <w:rPr>
                <w:rFonts w:hint="eastAsia" w:ascii="宋体" w:hAnsi="宋体" w:cs="宋体"/>
                <w:color w:val="000000"/>
                <w:kern w:val="0"/>
                <w:sz w:val="18"/>
                <w:szCs w:val="18"/>
                <w:lang w:bidi="ar"/>
              </w:rPr>
              <w:t>湖南华凯国际旅行社有限公司</w:t>
            </w:r>
          </w:p>
        </w:tc>
        <w:tc>
          <w:tcPr>
            <w:tcW w:w="2268" w:type="dxa"/>
            <w:vAlign w:val="center"/>
          </w:tcPr>
          <w:p>
            <w:pPr>
              <w:widowControl/>
              <w:jc w:val="right"/>
              <w:textAlignment w:val="center"/>
              <w:rPr>
                <w:rFonts w:ascii="Arial Narrow" w:hAnsi="Arial Narrow"/>
                <w:color w:val="000000"/>
                <w:sz w:val="18"/>
                <w:szCs w:val="18"/>
              </w:rPr>
            </w:pPr>
            <w:r>
              <w:rPr>
                <w:rFonts w:ascii="Arial" w:hAnsi="Arial" w:cs="Arial"/>
                <w:color w:val="000000"/>
                <w:kern w:val="0"/>
                <w:sz w:val="18"/>
                <w:szCs w:val="18"/>
                <w:lang w:bidi="ar"/>
              </w:rPr>
              <w:t xml:space="preserve"> 10,000.00 </w:t>
            </w:r>
          </w:p>
        </w:tc>
        <w:tc>
          <w:tcPr>
            <w:tcW w:w="3119" w:type="dxa"/>
            <w:vAlign w:val="center"/>
          </w:tcPr>
          <w:p>
            <w:pPr>
              <w:widowControl/>
              <w:jc w:val="right"/>
              <w:textAlignment w:val="center"/>
              <w:rPr>
                <w:rFonts w:ascii="Arial Narrow" w:hAnsi="Arial Narrow"/>
                <w:color w:val="000000"/>
                <w:sz w:val="18"/>
                <w:szCs w:val="18"/>
              </w:rPr>
            </w:pPr>
            <w:r>
              <w:rPr>
                <w:rFonts w:ascii="Arial" w:hAnsi="Arial" w:cs="Arial"/>
                <w:color w:val="000000"/>
                <w:kern w:val="0"/>
                <w:sz w:val="18"/>
                <w:szCs w:val="18"/>
                <w:lang w:bidi="ar"/>
              </w:rPr>
              <w:t xml:space="preserve"> 35.45 </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3368" w:type="dxa"/>
            <w:vAlign w:val="center"/>
          </w:tcPr>
          <w:p>
            <w:pPr>
              <w:widowControl/>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广州市恒生国际旅行社有限公司</w:t>
            </w:r>
          </w:p>
        </w:tc>
        <w:tc>
          <w:tcPr>
            <w:tcW w:w="2268" w:type="dxa"/>
            <w:vAlign w:val="center"/>
          </w:tcPr>
          <w:p>
            <w:pPr>
              <w:widowControl/>
              <w:jc w:val="right"/>
              <w:textAlignment w:val="center"/>
              <w:rPr>
                <w:rFonts w:ascii="Arial" w:hAnsi="Arial" w:cs="Arial"/>
                <w:color w:val="000000"/>
                <w:kern w:val="0"/>
                <w:sz w:val="18"/>
                <w:szCs w:val="18"/>
                <w:lang w:bidi="ar"/>
              </w:rPr>
            </w:pPr>
            <w:r>
              <w:rPr>
                <w:rFonts w:ascii="Arial" w:hAnsi="Arial" w:cs="Arial"/>
                <w:color w:val="000000"/>
                <w:kern w:val="0"/>
                <w:sz w:val="18"/>
                <w:szCs w:val="18"/>
                <w:lang w:bidi="ar"/>
              </w:rPr>
              <w:t xml:space="preserve"> 2,007.00 </w:t>
            </w:r>
          </w:p>
        </w:tc>
        <w:tc>
          <w:tcPr>
            <w:tcW w:w="3119" w:type="dxa"/>
            <w:vAlign w:val="center"/>
          </w:tcPr>
          <w:p>
            <w:pPr>
              <w:widowControl/>
              <w:jc w:val="right"/>
              <w:textAlignment w:val="center"/>
              <w:rPr>
                <w:rFonts w:ascii="Arial" w:hAnsi="Arial" w:cs="Arial"/>
                <w:color w:val="000000"/>
                <w:kern w:val="0"/>
                <w:sz w:val="18"/>
                <w:szCs w:val="18"/>
                <w:lang w:bidi="ar"/>
              </w:rPr>
            </w:pPr>
            <w:r>
              <w:rPr>
                <w:rFonts w:ascii="Arial" w:hAnsi="Arial" w:cs="Arial"/>
                <w:color w:val="000000"/>
                <w:kern w:val="0"/>
                <w:sz w:val="18"/>
                <w:szCs w:val="18"/>
                <w:lang w:bidi="ar"/>
              </w:rPr>
              <w:t xml:space="preserve"> 7.11 </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3368" w:type="dxa"/>
            <w:vAlign w:val="center"/>
          </w:tcPr>
          <w:p>
            <w:pPr>
              <w:widowControl/>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中国人民财产保险股份有限公司长沙市分公司</w:t>
            </w:r>
          </w:p>
        </w:tc>
        <w:tc>
          <w:tcPr>
            <w:tcW w:w="2268" w:type="dxa"/>
            <w:vAlign w:val="center"/>
          </w:tcPr>
          <w:p>
            <w:pPr>
              <w:widowControl/>
              <w:jc w:val="right"/>
              <w:textAlignment w:val="center"/>
              <w:rPr>
                <w:rFonts w:ascii="Arial" w:hAnsi="Arial" w:cs="Arial"/>
                <w:color w:val="000000"/>
                <w:kern w:val="0"/>
                <w:sz w:val="18"/>
                <w:szCs w:val="18"/>
                <w:lang w:bidi="ar"/>
              </w:rPr>
            </w:pPr>
            <w:r>
              <w:rPr>
                <w:rFonts w:ascii="Arial" w:hAnsi="Arial" w:cs="Arial"/>
                <w:color w:val="000000"/>
                <w:kern w:val="0"/>
                <w:sz w:val="18"/>
                <w:szCs w:val="18"/>
                <w:lang w:bidi="ar"/>
              </w:rPr>
              <w:t xml:space="preserve"> 5.50 </w:t>
            </w:r>
          </w:p>
        </w:tc>
        <w:tc>
          <w:tcPr>
            <w:tcW w:w="3119" w:type="dxa"/>
            <w:vAlign w:val="center"/>
          </w:tcPr>
          <w:p>
            <w:pPr>
              <w:widowControl/>
              <w:jc w:val="right"/>
              <w:textAlignment w:val="center"/>
              <w:rPr>
                <w:rFonts w:ascii="Arial" w:hAnsi="Arial" w:cs="Arial"/>
                <w:color w:val="000000"/>
                <w:kern w:val="0"/>
                <w:sz w:val="18"/>
                <w:szCs w:val="18"/>
                <w:lang w:bidi="ar"/>
              </w:rPr>
            </w:pPr>
            <w:r>
              <w:rPr>
                <w:rFonts w:ascii="Arial" w:hAnsi="Arial" w:cs="Arial"/>
                <w:color w:val="000000"/>
                <w:kern w:val="0"/>
                <w:sz w:val="18"/>
                <w:szCs w:val="18"/>
                <w:lang w:bidi="ar"/>
              </w:rPr>
              <w:t xml:space="preserve"> 0.02 </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3368" w:type="dxa"/>
            <w:tcBorders>
              <w:bottom w:val="single" w:color="auto" w:sz="12" w:space="0"/>
            </w:tcBorders>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合    计</w:t>
            </w:r>
          </w:p>
        </w:tc>
        <w:tc>
          <w:tcPr>
            <w:tcW w:w="2268" w:type="dxa"/>
            <w:tcBorders>
              <w:bottom w:val="single" w:color="auto" w:sz="12" w:space="0"/>
            </w:tcBorders>
            <w:vAlign w:val="center"/>
          </w:tcPr>
          <w:p>
            <w:pPr>
              <w:widowControl/>
              <w:jc w:val="right"/>
              <w:textAlignment w:val="center"/>
              <w:rPr>
                <w:rFonts w:ascii="Arial" w:hAnsi="Arial" w:cs="Arial"/>
                <w:color w:val="000000"/>
                <w:kern w:val="0"/>
                <w:sz w:val="18"/>
                <w:szCs w:val="18"/>
                <w:lang w:bidi="ar"/>
              </w:rPr>
            </w:pPr>
            <w:r>
              <w:rPr>
                <w:rFonts w:ascii="Arial" w:hAnsi="Arial" w:cs="Arial"/>
                <w:color w:val="000000"/>
                <w:kern w:val="0"/>
                <w:sz w:val="18"/>
                <w:szCs w:val="18"/>
                <w:lang w:bidi="ar"/>
              </w:rPr>
              <w:t xml:space="preserve"> 28,210.50 </w:t>
            </w:r>
          </w:p>
        </w:tc>
        <w:tc>
          <w:tcPr>
            <w:tcW w:w="3119" w:type="dxa"/>
            <w:tcBorders>
              <w:bottom w:val="single" w:color="auto" w:sz="12" w:space="0"/>
            </w:tcBorders>
            <w:vAlign w:val="center"/>
          </w:tcPr>
          <w:p>
            <w:pPr>
              <w:widowControl/>
              <w:jc w:val="right"/>
              <w:textAlignment w:val="center"/>
              <w:rPr>
                <w:rFonts w:ascii="Arial" w:hAnsi="Arial" w:cs="Arial"/>
                <w:color w:val="000000"/>
                <w:kern w:val="0"/>
                <w:sz w:val="18"/>
                <w:szCs w:val="18"/>
                <w:lang w:bidi="ar"/>
              </w:rPr>
            </w:pPr>
            <w:r>
              <w:rPr>
                <w:rFonts w:ascii="Arial" w:hAnsi="Arial" w:cs="Arial"/>
                <w:color w:val="000000"/>
                <w:kern w:val="0"/>
                <w:sz w:val="18"/>
                <w:szCs w:val="18"/>
                <w:lang w:bidi="ar"/>
              </w:rPr>
              <w:t xml:space="preserve"> 100.00 </w:t>
            </w:r>
          </w:p>
        </w:tc>
      </w:tr>
    </w:tbl>
    <w:p>
      <w:pPr>
        <w:pStyle w:val="15"/>
        <w:numPr>
          <w:ilvl w:val="0"/>
          <w:numId w:val="6"/>
        </w:numPr>
        <w:tabs>
          <w:tab w:val="left" w:pos="426"/>
          <w:tab w:val="left" w:pos="851"/>
          <w:tab w:val="left" w:pos="1134"/>
        </w:tabs>
        <w:snapToGrid w:val="0"/>
        <w:spacing w:after="156" w:afterLines="50" w:line="460" w:lineRule="atLeast"/>
        <w:ind w:left="840"/>
        <w:outlineLvl w:val="1"/>
        <w:rPr>
          <w:rFonts w:hAnsi="宋体" w:cs="Times New Roman"/>
          <w:bCs/>
          <w:snapToGrid w:val="0"/>
          <w:kern w:val="0"/>
        </w:rPr>
      </w:pPr>
      <w:r>
        <w:rPr>
          <w:rFonts w:hint="eastAsia" w:hAnsi="宋体" w:cs="Times New Roman"/>
          <w:bCs/>
          <w:snapToGrid w:val="0"/>
          <w:kern w:val="0"/>
        </w:rPr>
        <w:t>其他应收款</w:t>
      </w:r>
    </w:p>
    <w:p>
      <w:pPr>
        <w:pStyle w:val="15"/>
        <w:tabs>
          <w:tab w:val="left" w:pos="426"/>
          <w:tab w:val="left" w:pos="851"/>
          <w:tab w:val="left" w:pos="1134"/>
        </w:tabs>
        <w:snapToGrid w:val="0"/>
        <w:spacing w:after="156" w:afterLines="50" w:line="460" w:lineRule="atLeast"/>
        <w:ind w:firstLine="525" w:firstLineChars="250"/>
        <w:rPr>
          <w:rFonts w:hAnsi="宋体" w:cs="Times New Roman"/>
          <w:bCs/>
          <w:snapToGrid w:val="0"/>
          <w:kern w:val="0"/>
        </w:rPr>
      </w:pPr>
      <w:r>
        <w:rPr>
          <w:rFonts w:hint="eastAsia" w:hAnsi="宋体" w:cs="Times New Roman"/>
          <w:bCs/>
          <w:snapToGrid w:val="0"/>
          <w:kern w:val="0"/>
        </w:rPr>
        <w:t>1、其他应收款</w:t>
      </w:r>
    </w:p>
    <w:tbl>
      <w:tblPr>
        <w:tblStyle w:val="31"/>
        <w:tblW w:w="8579" w:type="dxa"/>
        <w:jc w:val="center"/>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4373"/>
        <w:gridCol w:w="1200"/>
        <w:gridCol w:w="1045"/>
        <w:gridCol w:w="956"/>
        <w:gridCol w:w="1005"/>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blHeader/>
          <w:jc w:val="center"/>
        </w:trPr>
        <w:tc>
          <w:tcPr>
            <w:tcW w:w="4373" w:type="dxa"/>
            <w:vMerge w:val="restart"/>
            <w:tcBorders>
              <w:top w:val="single" w:color="auto" w:sz="12" w:space="0"/>
            </w:tcBorders>
            <w:vAlign w:val="center"/>
          </w:tcPr>
          <w:p>
            <w:pPr>
              <w:adjustRightInd w:val="0"/>
              <w:snapToGrid w:val="0"/>
              <w:jc w:val="center"/>
              <w:rPr>
                <w:rFonts w:ascii="宋体" w:hAnsi="宋体" w:cs="Arial Narrow"/>
                <w:snapToGrid w:val="0"/>
                <w:kern w:val="0"/>
                <w:sz w:val="18"/>
                <w:szCs w:val="18"/>
              </w:rPr>
            </w:pPr>
            <w:r>
              <w:rPr>
                <w:rFonts w:hint="eastAsia" w:ascii="宋体" w:hAnsi="宋体" w:cs="宋体"/>
                <w:snapToGrid w:val="0"/>
                <w:kern w:val="0"/>
                <w:sz w:val="18"/>
                <w:szCs w:val="18"/>
              </w:rPr>
              <w:t>类  别</w:t>
            </w:r>
          </w:p>
        </w:tc>
        <w:tc>
          <w:tcPr>
            <w:tcW w:w="4206" w:type="dxa"/>
            <w:gridSpan w:val="4"/>
            <w:tcBorders>
              <w:top w:val="single" w:color="auto" w:sz="12" w:space="0"/>
            </w:tcBorders>
            <w:vAlign w:val="center"/>
          </w:tcPr>
          <w:p>
            <w:pPr>
              <w:adjustRightInd w:val="0"/>
              <w:snapToGrid w:val="0"/>
              <w:jc w:val="center"/>
              <w:rPr>
                <w:rFonts w:ascii="宋体" w:hAnsi="宋体" w:cs="Arial Narrow"/>
                <w:snapToGrid w:val="0"/>
                <w:kern w:val="0"/>
                <w:sz w:val="18"/>
                <w:szCs w:val="18"/>
              </w:rPr>
            </w:pPr>
            <w:r>
              <w:rPr>
                <w:rFonts w:hint="eastAsia" w:ascii="宋体" w:hAnsi="宋体" w:cs="Arial Narrow"/>
                <w:snapToGrid w:val="0"/>
                <w:kern w:val="0"/>
                <w:sz w:val="18"/>
                <w:szCs w:val="18"/>
              </w:rPr>
              <w:t>期末数</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blHeader/>
          <w:jc w:val="center"/>
        </w:trPr>
        <w:tc>
          <w:tcPr>
            <w:tcW w:w="4373" w:type="dxa"/>
            <w:vMerge w:val="continue"/>
            <w:vAlign w:val="center"/>
          </w:tcPr>
          <w:p>
            <w:pPr>
              <w:adjustRightInd w:val="0"/>
              <w:snapToGrid w:val="0"/>
              <w:jc w:val="center"/>
              <w:rPr>
                <w:rFonts w:ascii="宋体" w:hAnsi="宋体" w:cs="Arial Narrow"/>
                <w:snapToGrid w:val="0"/>
                <w:kern w:val="0"/>
                <w:sz w:val="18"/>
                <w:szCs w:val="18"/>
              </w:rPr>
            </w:pPr>
          </w:p>
        </w:tc>
        <w:tc>
          <w:tcPr>
            <w:tcW w:w="2245" w:type="dxa"/>
            <w:gridSpan w:val="2"/>
            <w:vAlign w:val="center"/>
          </w:tcPr>
          <w:p>
            <w:pPr>
              <w:adjustRightInd w:val="0"/>
              <w:snapToGrid w:val="0"/>
              <w:jc w:val="center"/>
              <w:rPr>
                <w:rFonts w:ascii="宋体" w:hAnsi="宋体" w:cs="Arial Narrow"/>
                <w:snapToGrid w:val="0"/>
                <w:kern w:val="0"/>
                <w:sz w:val="18"/>
                <w:szCs w:val="18"/>
              </w:rPr>
            </w:pPr>
            <w:r>
              <w:rPr>
                <w:rFonts w:hint="eastAsia" w:ascii="宋体" w:hAnsi="宋体" w:cs="宋体"/>
                <w:snapToGrid w:val="0"/>
                <w:kern w:val="0"/>
                <w:sz w:val="18"/>
                <w:szCs w:val="18"/>
              </w:rPr>
              <w:t>账面余额</w:t>
            </w:r>
          </w:p>
        </w:tc>
        <w:tc>
          <w:tcPr>
            <w:tcW w:w="1961" w:type="dxa"/>
            <w:gridSpan w:val="2"/>
            <w:vAlign w:val="center"/>
          </w:tcPr>
          <w:p>
            <w:pPr>
              <w:adjustRightInd w:val="0"/>
              <w:snapToGrid w:val="0"/>
              <w:jc w:val="center"/>
              <w:rPr>
                <w:rFonts w:ascii="宋体" w:hAnsi="宋体" w:cs="Arial Narrow"/>
                <w:snapToGrid w:val="0"/>
                <w:kern w:val="0"/>
                <w:sz w:val="18"/>
                <w:szCs w:val="18"/>
              </w:rPr>
            </w:pPr>
            <w:r>
              <w:rPr>
                <w:rFonts w:hint="eastAsia" w:ascii="宋体" w:hAnsi="宋体" w:cs="宋体"/>
                <w:snapToGrid w:val="0"/>
                <w:kern w:val="0"/>
                <w:sz w:val="18"/>
                <w:szCs w:val="18"/>
              </w:rPr>
              <w:t>坏账准备</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41" w:hRule="atLeast"/>
          <w:tblHeader/>
          <w:jc w:val="center"/>
        </w:trPr>
        <w:tc>
          <w:tcPr>
            <w:tcW w:w="4373" w:type="dxa"/>
            <w:vMerge w:val="continue"/>
            <w:vAlign w:val="center"/>
          </w:tcPr>
          <w:p>
            <w:pPr>
              <w:adjustRightInd w:val="0"/>
              <w:snapToGrid w:val="0"/>
              <w:jc w:val="center"/>
              <w:rPr>
                <w:rFonts w:ascii="宋体" w:hAnsi="宋体" w:cs="Arial Narrow"/>
                <w:snapToGrid w:val="0"/>
                <w:kern w:val="0"/>
                <w:sz w:val="18"/>
                <w:szCs w:val="18"/>
              </w:rPr>
            </w:pPr>
          </w:p>
        </w:tc>
        <w:tc>
          <w:tcPr>
            <w:tcW w:w="1200" w:type="dxa"/>
            <w:vAlign w:val="center"/>
          </w:tcPr>
          <w:p>
            <w:pPr>
              <w:adjustRightInd w:val="0"/>
              <w:snapToGrid w:val="0"/>
              <w:jc w:val="center"/>
              <w:rPr>
                <w:rFonts w:ascii="宋体" w:hAnsi="宋体" w:cs="Arial Narrow"/>
                <w:snapToGrid w:val="0"/>
                <w:kern w:val="0"/>
                <w:sz w:val="18"/>
                <w:szCs w:val="18"/>
              </w:rPr>
            </w:pPr>
            <w:r>
              <w:rPr>
                <w:rFonts w:hint="eastAsia" w:ascii="宋体" w:hAnsi="宋体" w:cs="宋体"/>
                <w:snapToGrid w:val="0"/>
                <w:kern w:val="0"/>
                <w:sz w:val="18"/>
                <w:szCs w:val="18"/>
              </w:rPr>
              <w:t>金额</w:t>
            </w:r>
          </w:p>
        </w:tc>
        <w:tc>
          <w:tcPr>
            <w:tcW w:w="1045" w:type="dxa"/>
            <w:vAlign w:val="center"/>
          </w:tcPr>
          <w:p>
            <w:pPr>
              <w:adjustRightInd w:val="0"/>
              <w:snapToGrid w:val="0"/>
              <w:jc w:val="center"/>
              <w:rPr>
                <w:rFonts w:ascii="宋体" w:hAnsi="宋体" w:cs="宋体"/>
                <w:snapToGrid w:val="0"/>
                <w:kern w:val="0"/>
                <w:sz w:val="18"/>
                <w:szCs w:val="18"/>
              </w:rPr>
            </w:pPr>
            <w:r>
              <w:rPr>
                <w:rFonts w:hint="eastAsia" w:ascii="宋体" w:hAnsi="宋体" w:cs="宋体"/>
                <w:snapToGrid w:val="0"/>
                <w:kern w:val="0"/>
                <w:sz w:val="18"/>
                <w:szCs w:val="18"/>
              </w:rPr>
              <w:t>比例</w:t>
            </w:r>
          </w:p>
          <w:p>
            <w:pPr>
              <w:adjustRightInd w:val="0"/>
              <w:snapToGrid w:val="0"/>
              <w:jc w:val="center"/>
              <w:rPr>
                <w:rFonts w:ascii="宋体" w:hAnsi="宋体" w:cs="Arial Narrow"/>
                <w:snapToGrid w:val="0"/>
                <w:kern w:val="0"/>
                <w:sz w:val="18"/>
                <w:szCs w:val="18"/>
              </w:rPr>
            </w:pPr>
            <w:r>
              <w:rPr>
                <w:rFonts w:ascii="宋体" w:hAnsi="宋体" w:cs="Arial Narrow"/>
                <w:snapToGrid w:val="0"/>
                <w:kern w:val="0"/>
                <w:sz w:val="18"/>
                <w:szCs w:val="18"/>
              </w:rPr>
              <w:t>(%)</w:t>
            </w:r>
          </w:p>
        </w:tc>
        <w:tc>
          <w:tcPr>
            <w:tcW w:w="956" w:type="dxa"/>
            <w:vAlign w:val="center"/>
          </w:tcPr>
          <w:p>
            <w:pPr>
              <w:adjustRightInd w:val="0"/>
              <w:snapToGrid w:val="0"/>
              <w:jc w:val="center"/>
              <w:rPr>
                <w:rFonts w:ascii="宋体" w:hAnsi="宋体" w:cs="Arial Narrow"/>
                <w:snapToGrid w:val="0"/>
                <w:kern w:val="0"/>
                <w:sz w:val="18"/>
                <w:szCs w:val="18"/>
              </w:rPr>
            </w:pPr>
            <w:r>
              <w:rPr>
                <w:rFonts w:hint="eastAsia" w:ascii="宋体" w:hAnsi="宋体" w:cs="宋体"/>
                <w:snapToGrid w:val="0"/>
                <w:kern w:val="0"/>
                <w:sz w:val="18"/>
                <w:szCs w:val="18"/>
              </w:rPr>
              <w:t>金额</w:t>
            </w:r>
          </w:p>
        </w:tc>
        <w:tc>
          <w:tcPr>
            <w:tcW w:w="1005" w:type="dxa"/>
            <w:vAlign w:val="center"/>
          </w:tcPr>
          <w:p>
            <w:pPr>
              <w:adjustRightInd w:val="0"/>
              <w:snapToGrid w:val="0"/>
              <w:jc w:val="center"/>
              <w:rPr>
                <w:rFonts w:ascii="宋体" w:hAnsi="宋体" w:cs="宋体"/>
                <w:snapToGrid w:val="0"/>
                <w:kern w:val="0"/>
                <w:sz w:val="18"/>
                <w:szCs w:val="18"/>
              </w:rPr>
            </w:pPr>
            <w:r>
              <w:rPr>
                <w:rFonts w:hint="eastAsia" w:ascii="宋体" w:hAnsi="宋体" w:cs="宋体"/>
                <w:snapToGrid w:val="0"/>
                <w:kern w:val="0"/>
                <w:sz w:val="18"/>
                <w:szCs w:val="18"/>
              </w:rPr>
              <w:t>计提比例</w:t>
            </w:r>
          </w:p>
          <w:p>
            <w:pPr>
              <w:adjustRightInd w:val="0"/>
              <w:snapToGrid w:val="0"/>
              <w:jc w:val="center"/>
              <w:rPr>
                <w:rFonts w:ascii="宋体" w:hAnsi="宋体" w:cs="Arial Narrow"/>
                <w:snapToGrid w:val="0"/>
                <w:kern w:val="0"/>
                <w:sz w:val="18"/>
                <w:szCs w:val="18"/>
              </w:rPr>
            </w:pPr>
            <w:r>
              <w:rPr>
                <w:rFonts w:ascii="宋体" w:hAnsi="宋体" w:cs="Arial Narrow"/>
                <w:snapToGrid w:val="0"/>
                <w:kern w:val="0"/>
                <w:sz w:val="18"/>
                <w:szCs w:val="18"/>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373" w:type="dxa"/>
            <w:vAlign w:val="center"/>
          </w:tcPr>
          <w:p>
            <w:pPr>
              <w:adjustRightInd w:val="0"/>
              <w:snapToGrid w:val="0"/>
              <w:rPr>
                <w:rFonts w:ascii="宋体" w:hAnsi="宋体" w:cs="Arial"/>
                <w:snapToGrid w:val="0"/>
                <w:kern w:val="0"/>
                <w:sz w:val="18"/>
                <w:szCs w:val="18"/>
              </w:rPr>
            </w:pPr>
            <w:r>
              <w:rPr>
                <w:rFonts w:hint="eastAsia" w:ascii="宋体" w:hAnsi="宋体" w:cs="宋体"/>
                <w:snapToGrid w:val="0"/>
                <w:kern w:val="0"/>
                <w:sz w:val="18"/>
                <w:szCs w:val="18"/>
              </w:rPr>
              <w:t>单项金额重大并单项计提坏账准备的其他应收款</w:t>
            </w:r>
          </w:p>
        </w:tc>
        <w:tc>
          <w:tcPr>
            <w:tcW w:w="1200" w:type="dxa"/>
            <w:vAlign w:val="center"/>
          </w:tcPr>
          <w:p>
            <w:pPr>
              <w:widowControl/>
              <w:jc w:val="right"/>
              <w:textAlignment w:val="center"/>
              <w:rPr>
                <w:rFonts w:ascii="Arial Narrow" w:hAnsi="Arial Narrow" w:cs="Arial Narrow"/>
                <w:snapToGrid w:val="0"/>
                <w:kern w:val="0"/>
                <w:sz w:val="18"/>
                <w:szCs w:val="18"/>
              </w:rPr>
            </w:pPr>
            <w:r>
              <w:rPr>
                <w:rFonts w:ascii="Arial" w:hAnsi="Arial" w:cs="Arial"/>
                <w:color w:val="000000"/>
                <w:kern w:val="0"/>
                <w:sz w:val="18"/>
                <w:szCs w:val="18"/>
                <w:lang w:bidi="ar"/>
              </w:rPr>
              <w:t>　</w:t>
            </w:r>
          </w:p>
        </w:tc>
        <w:tc>
          <w:tcPr>
            <w:tcW w:w="1045" w:type="dxa"/>
            <w:vAlign w:val="center"/>
          </w:tcPr>
          <w:p>
            <w:pPr>
              <w:widowControl/>
              <w:jc w:val="center"/>
              <w:textAlignment w:val="center"/>
              <w:rPr>
                <w:rFonts w:ascii="Arial Narrow" w:hAnsi="Arial Narrow" w:cs="Arial Narrow"/>
                <w:snapToGrid w:val="0"/>
                <w:kern w:val="0"/>
                <w:sz w:val="18"/>
                <w:szCs w:val="18"/>
              </w:rPr>
            </w:pPr>
            <w:r>
              <w:rPr>
                <w:rFonts w:ascii="Arial" w:hAnsi="Arial" w:cs="Arial"/>
                <w:color w:val="000000"/>
                <w:kern w:val="0"/>
                <w:sz w:val="18"/>
                <w:szCs w:val="18"/>
                <w:lang w:bidi="ar"/>
              </w:rPr>
              <w:t>　</w:t>
            </w:r>
          </w:p>
        </w:tc>
        <w:tc>
          <w:tcPr>
            <w:tcW w:w="956" w:type="dxa"/>
            <w:vAlign w:val="center"/>
          </w:tcPr>
          <w:p>
            <w:pPr>
              <w:widowControl/>
              <w:jc w:val="right"/>
              <w:textAlignment w:val="center"/>
              <w:rPr>
                <w:rFonts w:ascii="Arial Narrow" w:hAnsi="Arial Narrow" w:cs="Arial Narrow"/>
                <w:snapToGrid w:val="0"/>
                <w:kern w:val="0"/>
                <w:sz w:val="18"/>
                <w:szCs w:val="18"/>
              </w:rPr>
            </w:pPr>
            <w:r>
              <w:rPr>
                <w:rFonts w:ascii="Arial" w:hAnsi="Arial" w:cs="Arial"/>
                <w:color w:val="000000"/>
                <w:kern w:val="0"/>
                <w:sz w:val="18"/>
                <w:szCs w:val="18"/>
                <w:lang w:bidi="ar"/>
              </w:rPr>
              <w:t>　</w:t>
            </w:r>
          </w:p>
        </w:tc>
        <w:tc>
          <w:tcPr>
            <w:tcW w:w="1005" w:type="dxa"/>
            <w:vAlign w:val="center"/>
          </w:tcPr>
          <w:p>
            <w:pPr>
              <w:widowControl/>
              <w:jc w:val="center"/>
              <w:textAlignment w:val="center"/>
              <w:rPr>
                <w:rFonts w:ascii="Arial Narrow" w:hAnsi="Arial Narrow" w:cs="Arial Narrow"/>
                <w:snapToGrid w:val="0"/>
                <w:kern w:val="0"/>
                <w:sz w:val="18"/>
                <w:szCs w:val="18"/>
              </w:rPr>
            </w:pPr>
            <w:r>
              <w:rPr>
                <w:rFonts w:ascii="Arial" w:hAnsi="Arial" w:cs="Arial"/>
                <w:color w:val="000000"/>
                <w:kern w:val="0"/>
                <w:sz w:val="18"/>
                <w:szCs w:val="18"/>
                <w:lang w:bidi="ar"/>
              </w:rPr>
              <w:t>　</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373" w:type="dxa"/>
            <w:vAlign w:val="center"/>
          </w:tcPr>
          <w:p>
            <w:pPr>
              <w:adjustRightInd w:val="0"/>
              <w:snapToGrid w:val="0"/>
              <w:rPr>
                <w:rFonts w:ascii="宋体" w:hAnsi="宋体" w:cs="Arial"/>
                <w:snapToGrid w:val="0"/>
                <w:kern w:val="0"/>
                <w:sz w:val="18"/>
                <w:szCs w:val="18"/>
              </w:rPr>
            </w:pPr>
            <w:r>
              <w:rPr>
                <w:rFonts w:hint="eastAsia" w:ascii="宋体" w:hAnsi="宋体" w:cs="宋体"/>
                <w:snapToGrid w:val="0"/>
                <w:kern w:val="0"/>
                <w:sz w:val="18"/>
                <w:szCs w:val="18"/>
              </w:rPr>
              <w:t>按组合计提坏账准备的其他应收款</w:t>
            </w:r>
          </w:p>
        </w:tc>
        <w:tc>
          <w:tcPr>
            <w:tcW w:w="1200" w:type="dxa"/>
            <w:vAlign w:val="center"/>
          </w:tcPr>
          <w:p>
            <w:pPr>
              <w:widowControl/>
              <w:jc w:val="right"/>
              <w:textAlignment w:val="center"/>
              <w:rPr>
                <w:rFonts w:ascii="Arial Narrow" w:hAnsi="Arial Narrow" w:cs="Arial Narrow"/>
                <w:snapToGrid w:val="0"/>
                <w:kern w:val="0"/>
                <w:sz w:val="18"/>
                <w:szCs w:val="18"/>
              </w:rPr>
            </w:pPr>
            <w:r>
              <w:rPr>
                <w:rFonts w:ascii="Arial" w:hAnsi="Arial" w:cs="Arial"/>
                <w:color w:val="000000"/>
                <w:kern w:val="0"/>
                <w:sz w:val="18"/>
                <w:szCs w:val="18"/>
                <w:lang w:bidi="ar"/>
              </w:rPr>
              <w:t xml:space="preserve"> 54,912.35 </w:t>
            </w:r>
          </w:p>
        </w:tc>
        <w:tc>
          <w:tcPr>
            <w:tcW w:w="1045" w:type="dxa"/>
            <w:vAlign w:val="center"/>
          </w:tcPr>
          <w:p>
            <w:pPr>
              <w:widowControl/>
              <w:jc w:val="right"/>
              <w:textAlignment w:val="center"/>
              <w:rPr>
                <w:rFonts w:ascii="Arial Narrow" w:hAnsi="Arial Narrow" w:cs="Arial Narrow"/>
                <w:snapToGrid w:val="0"/>
                <w:kern w:val="0"/>
                <w:sz w:val="18"/>
                <w:szCs w:val="18"/>
              </w:rPr>
            </w:pPr>
            <w:r>
              <w:rPr>
                <w:rFonts w:ascii="Arial" w:hAnsi="Arial" w:cs="Arial"/>
                <w:color w:val="000000"/>
                <w:kern w:val="0"/>
                <w:sz w:val="18"/>
                <w:szCs w:val="18"/>
                <w:lang w:bidi="ar"/>
              </w:rPr>
              <w:t xml:space="preserve"> 100.00 </w:t>
            </w:r>
          </w:p>
        </w:tc>
        <w:tc>
          <w:tcPr>
            <w:tcW w:w="956" w:type="dxa"/>
            <w:vAlign w:val="center"/>
          </w:tcPr>
          <w:p>
            <w:pPr>
              <w:widowControl/>
              <w:jc w:val="right"/>
              <w:textAlignment w:val="center"/>
              <w:rPr>
                <w:rFonts w:ascii="Arial Narrow" w:hAnsi="Arial Narrow" w:cs="Arial Narrow"/>
                <w:snapToGrid w:val="0"/>
                <w:kern w:val="0"/>
                <w:sz w:val="18"/>
                <w:szCs w:val="18"/>
              </w:rPr>
            </w:pPr>
            <w:r>
              <w:rPr>
                <w:rFonts w:ascii="Arial" w:hAnsi="Arial" w:cs="Arial"/>
                <w:color w:val="000000"/>
                <w:kern w:val="0"/>
                <w:sz w:val="18"/>
                <w:szCs w:val="18"/>
                <w:lang w:bidi="ar"/>
              </w:rPr>
              <w:t xml:space="preserve"> 274.56 </w:t>
            </w:r>
          </w:p>
        </w:tc>
        <w:tc>
          <w:tcPr>
            <w:tcW w:w="1005" w:type="dxa"/>
            <w:vAlign w:val="center"/>
          </w:tcPr>
          <w:p>
            <w:pPr>
              <w:widowControl/>
              <w:jc w:val="right"/>
              <w:textAlignment w:val="center"/>
              <w:rPr>
                <w:rFonts w:ascii="Arial Narrow" w:hAnsi="Arial Narrow" w:cs="Arial Narrow"/>
                <w:snapToGrid w:val="0"/>
                <w:kern w:val="0"/>
                <w:sz w:val="18"/>
                <w:szCs w:val="18"/>
              </w:rPr>
            </w:pPr>
            <w:r>
              <w:rPr>
                <w:rFonts w:ascii="Arial" w:hAnsi="Arial" w:cs="Arial"/>
                <w:color w:val="000000"/>
                <w:kern w:val="0"/>
                <w:sz w:val="18"/>
                <w:szCs w:val="18"/>
                <w:lang w:bidi="ar"/>
              </w:rPr>
              <w:t xml:space="preserve">100.00 </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373" w:type="dxa"/>
            <w:vAlign w:val="center"/>
          </w:tcPr>
          <w:p>
            <w:pPr>
              <w:pStyle w:val="59"/>
              <w:adjustRightInd w:val="0"/>
              <w:snapToGrid w:val="0"/>
              <w:spacing w:after="0"/>
              <w:ind w:left="0" w:leftChars="0" w:firstLine="360"/>
              <w:rPr>
                <w:rFonts w:cs="Arial" w:asciiTheme="minorEastAsia" w:hAnsiTheme="minorEastAsia" w:eastAsiaTheme="minorEastAsia"/>
                <w:snapToGrid w:val="0"/>
                <w:kern w:val="0"/>
                <w:sz w:val="18"/>
                <w:szCs w:val="18"/>
              </w:rPr>
            </w:pPr>
            <w:r>
              <w:rPr>
                <w:rFonts w:hint="eastAsia" w:cs="Arial" w:asciiTheme="minorEastAsia" w:hAnsiTheme="minorEastAsia" w:eastAsiaTheme="minorEastAsia"/>
                <w:snapToGrid w:val="0"/>
                <w:kern w:val="0"/>
                <w:sz w:val="18"/>
                <w:szCs w:val="18"/>
              </w:rPr>
              <w:t>受同一母公司控制且纳入合并范围内关联方往来</w:t>
            </w:r>
          </w:p>
        </w:tc>
        <w:tc>
          <w:tcPr>
            <w:tcW w:w="1200" w:type="dxa"/>
            <w:vAlign w:val="center"/>
          </w:tcPr>
          <w:p>
            <w:pPr>
              <w:jc w:val="right"/>
              <w:rPr>
                <w:rFonts w:ascii="Arial Narrow" w:hAnsi="Arial Narrow" w:cs="Arial Narrow"/>
                <w:snapToGrid w:val="0"/>
                <w:kern w:val="0"/>
                <w:sz w:val="18"/>
                <w:szCs w:val="18"/>
              </w:rPr>
            </w:pPr>
          </w:p>
        </w:tc>
        <w:tc>
          <w:tcPr>
            <w:tcW w:w="1045" w:type="dxa"/>
            <w:vAlign w:val="center"/>
          </w:tcPr>
          <w:p>
            <w:pPr>
              <w:jc w:val="right"/>
              <w:rPr>
                <w:rFonts w:ascii="Arial Narrow" w:hAnsi="Arial Narrow" w:cs="Arial Narrow"/>
                <w:snapToGrid w:val="0"/>
                <w:kern w:val="0"/>
                <w:sz w:val="18"/>
                <w:szCs w:val="18"/>
              </w:rPr>
            </w:pPr>
          </w:p>
        </w:tc>
        <w:tc>
          <w:tcPr>
            <w:tcW w:w="956" w:type="dxa"/>
            <w:vAlign w:val="center"/>
          </w:tcPr>
          <w:p>
            <w:pPr>
              <w:jc w:val="right"/>
              <w:rPr>
                <w:rFonts w:ascii="Arial Narrow" w:hAnsi="Arial Narrow" w:cs="Arial Narrow"/>
                <w:snapToGrid w:val="0"/>
                <w:kern w:val="0"/>
                <w:sz w:val="18"/>
                <w:szCs w:val="18"/>
              </w:rPr>
            </w:pPr>
          </w:p>
        </w:tc>
        <w:tc>
          <w:tcPr>
            <w:tcW w:w="1005" w:type="dxa"/>
            <w:vAlign w:val="center"/>
          </w:tcPr>
          <w:p>
            <w:pPr>
              <w:jc w:val="center"/>
              <w:rPr>
                <w:rFonts w:ascii="Arial Narrow" w:hAnsi="Arial Narrow" w:cs="Arial Narrow"/>
                <w:snapToGrid w:val="0"/>
                <w:kern w:val="0"/>
                <w:sz w:val="18"/>
                <w:szCs w:val="18"/>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373" w:type="dxa"/>
            <w:vAlign w:val="center"/>
          </w:tcPr>
          <w:p>
            <w:pPr>
              <w:pStyle w:val="59"/>
              <w:adjustRightInd w:val="0"/>
              <w:snapToGrid w:val="0"/>
              <w:spacing w:after="0"/>
              <w:ind w:left="0" w:leftChars="0" w:firstLine="360"/>
              <w:rPr>
                <w:rFonts w:cs="Arial" w:asciiTheme="minorEastAsia" w:hAnsiTheme="minorEastAsia" w:eastAsiaTheme="minorEastAsia"/>
                <w:snapToGrid w:val="0"/>
                <w:kern w:val="0"/>
                <w:sz w:val="18"/>
                <w:szCs w:val="18"/>
              </w:rPr>
            </w:pPr>
            <w:r>
              <w:rPr>
                <w:rFonts w:hint="eastAsia" w:cs="Arial" w:asciiTheme="minorEastAsia" w:hAnsiTheme="minorEastAsia" w:eastAsiaTheme="minorEastAsia"/>
                <w:snapToGrid w:val="0"/>
                <w:kern w:val="0"/>
                <w:sz w:val="18"/>
                <w:szCs w:val="18"/>
              </w:rPr>
              <w:t>账龄组合</w:t>
            </w:r>
          </w:p>
        </w:tc>
        <w:tc>
          <w:tcPr>
            <w:tcW w:w="1200" w:type="dxa"/>
            <w:vAlign w:val="center"/>
          </w:tcPr>
          <w:p>
            <w:pPr>
              <w:rPr>
                <w:rFonts w:ascii="Arial Narrow" w:hAnsi="Arial Narrow" w:cs="Arial Narrow"/>
                <w:snapToGrid w:val="0"/>
                <w:kern w:val="0"/>
                <w:sz w:val="18"/>
                <w:szCs w:val="18"/>
              </w:rPr>
            </w:pPr>
          </w:p>
        </w:tc>
        <w:tc>
          <w:tcPr>
            <w:tcW w:w="1045" w:type="dxa"/>
            <w:vAlign w:val="center"/>
          </w:tcPr>
          <w:p>
            <w:pPr>
              <w:rPr>
                <w:rFonts w:ascii="Arial Narrow" w:hAnsi="Arial Narrow" w:cs="Arial Narrow"/>
                <w:snapToGrid w:val="0"/>
                <w:kern w:val="0"/>
                <w:sz w:val="18"/>
                <w:szCs w:val="18"/>
              </w:rPr>
            </w:pPr>
          </w:p>
        </w:tc>
        <w:tc>
          <w:tcPr>
            <w:tcW w:w="956" w:type="dxa"/>
            <w:vAlign w:val="center"/>
          </w:tcPr>
          <w:p>
            <w:pPr>
              <w:rPr>
                <w:rFonts w:ascii="Arial Narrow" w:hAnsi="Arial Narrow" w:cs="Arial Narrow"/>
                <w:snapToGrid w:val="0"/>
                <w:kern w:val="0"/>
                <w:sz w:val="18"/>
                <w:szCs w:val="18"/>
              </w:rPr>
            </w:pPr>
          </w:p>
        </w:tc>
        <w:tc>
          <w:tcPr>
            <w:tcW w:w="1005" w:type="dxa"/>
            <w:vAlign w:val="center"/>
          </w:tcPr>
          <w:p>
            <w:pPr>
              <w:rPr>
                <w:rFonts w:ascii="Arial Narrow" w:hAnsi="Arial Narrow" w:cs="Arial Narrow"/>
                <w:snapToGrid w:val="0"/>
                <w:kern w:val="0"/>
                <w:sz w:val="18"/>
                <w:szCs w:val="18"/>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373" w:type="dxa"/>
            <w:vAlign w:val="center"/>
          </w:tcPr>
          <w:p>
            <w:pPr>
              <w:adjustRightInd w:val="0"/>
              <w:snapToGrid w:val="0"/>
              <w:jc w:val="center"/>
              <w:rPr>
                <w:rFonts w:ascii="宋体" w:hAnsi="宋体" w:cs="宋体"/>
                <w:snapToGrid w:val="0"/>
                <w:kern w:val="0"/>
                <w:sz w:val="18"/>
                <w:szCs w:val="18"/>
              </w:rPr>
            </w:pPr>
            <w:r>
              <w:rPr>
                <w:rFonts w:hint="eastAsia" w:ascii="宋体" w:hAnsi="宋体" w:cs="宋体"/>
                <w:snapToGrid w:val="0"/>
                <w:kern w:val="0"/>
                <w:sz w:val="18"/>
                <w:szCs w:val="18"/>
              </w:rPr>
              <w:t>小计</w:t>
            </w:r>
          </w:p>
        </w:tc>
        <w:tc>
          <w:tcPr>
            <w:tcW w:w="1200" w:type="dxa"/>
            <w:vAlign w:val="center"/>
          </w:tcPr>
          <w:p>
            <w:pPr>
              <w:widowControl/>
              <w:jc w:val="right"/>
              <w:textAlignment w:val="center"/>
              <w:rPr>
                <w:rFonts w:ascii="Arial Narrow" w:hAnsi="Arial Narrow" w:cs="Arial Narrow"/>
                <w:snapToGrid w:val="0"/>
                <w:kern w:val="0"/>
                <w:sz w:val="18"/>
                <w:szCs w:val="18"/>
              </w:rPr>
            </w:pPr>
            <w:r>
              <w:rPr>
                <w:rFonts w:ascii="Arial" w:hAnsi="Arial" w:cs="Arial"/>
                <w:color w:val="000000"/>
                <w:kern w:val="0"/>
                <w:sz w:val="18"/>
                <w:szCs w:val="18"/>
                <w:lang w:bidi="ar"/>
              </w:rPr>
              <w:t xml:space="preserve"> 54,912.35 </w:t>
            </w:r>
          </w:p>
        </w:tc>
        <w:tc>
          <w:tcPr>
            <w:tcW w:w="1045" w:type="dxa"/>
            <w:vAlign w:val="center"/>
          </w:tcPr>
          <w:p>
            <w:pPr>
              <w:widowControl/>
              <w:jc w:val="right"/>
              <w:textAlignment w:val="center"/>
              <w:rPr>
                <w:rFonts w:ascii="Arial Narrow" w:hAnsi="Arial Narrow" w:cs="Arial Narrow"/>
                <w:snapToGrid w:val="0"/>
                <w:kern w:val="0"/>
                <w:sz w:val="18"/>
                <w:szCs w:val="18"/>
              </w:rPr>
            </w:pPr>
            <w:r>
              <w:rPr>
                <w:rFonts w:ascii="Arial" w:hAnsi="Arial" w:cs="Arial"/>
                <w:color w:val="000000"/>
                <w:kern w:val="0"/>
                <w:sz w:val="18"/>
                <w:szCs w:val="18"/>
                <w:lang w:bidi="ar"/>
              </w:rPr>
              <w:t xml:space="preserve"> 100.00 </w:t>
            </w:r>
          </w:p>
        </w:tc>
        <w:tc>
          <w:tcPr>
            <w:tcW w:w="956" w:type="dxa"/>
            <w:vAlign w:val="center"/>
          </w:tcPr>
          <w:p>
            <w:pPr>
              <w:widowControl/>
              <w:jc w:val="right"/>
              <w:textAlignment w:val="center"/>
              <w:rPr>
                <w:rFonts w:ascii="Arial Narrow" w:hAnsi="Arial Narrow" w:cs="Arial Narrow"/>
                <w:snapToGrid w:val="0"/>
                <w:kern w:val="0"/>
                <w:sz w:val="18"/>
                <w:szCs w:val="18"/>
              </w:rPr>
            </w:pPr>
            <w:r>
              <w:rPr>
                <w:rFonts w:ascii="Arial" w:hAnsi="Arial" w:cs="Arial"/>
                <w:color w:val="000000"/>
                <w:kern w:val="0"/>
                <w:sz w:val="18"/>
                <w:szCs w:val="18"/>
                <w:lang w:bidi="ar"/>
              </w:rPr>
              <w:t xml:space="preserve"> 274.56 </w:t>
            </w:r>
          </w:p>
        </w:tc>
        <w:tc>
          <w:tcPr>
            <w:tcW w:w="1005" w:type="dxa"/>
            <w:vAlign w:val="center"/>
          </w:tcPr>
          <w:p>
            <w:pPr>
              <w:widowControl/>
              <w:jc w:val="right"/>
              <w:textAlignment w:val="center"/>
              <w:rPr>
                <w:rFonts w:ascii="Arial Narrow" w:hAnsi="Arial Narrow" w:cs="Arial Narrow"/>
                <w:snapToGrid w:val="0"/>
                <w:kern w:val="0"/>
                <w:sz w:val="18"/>
                <w:szCs w:val="18"/>
              </w:rPr>
            </w:pPr>
            <w:r>
              <w:rPr>
                <w:rFonts w:ascii="Arial" w:hAnsi="Arial" w:cs="Arial"/>
                <w:color w:val="000000"/>
                <w:kern w:val="0"/>
                <w:sz w:val="18"/>
                <w:szCs w:val="18"/>
                <w:lang w:bidi="ar"/>
              </w:rPr>
              <w:t xml:space="preserve">100.00 </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373" w:type="dxa"/>
            <w:vAlign w:val="center"/>
          </w:tcPr>
          <w:p>
            <w:pPr>
              <w:adjustRightInd w:val="0"/>
              <w:snapToGrid w:val="0"/>
              <w:rPr>
                <w:rFonts w:ascii="宋体" w:hAnsi="宋体" w:cs="宋体"/>
                <w:snapToGrid w:val="0"/>
                <w:kern w:val="0"/>
                <w:sz w:val="18"/>
                <w:szCs w:val="18"/>
              </w:rPr>
            </w:pPr>
            <w:r>
              <w:rPr>
                <w:rFonts w:hint="eastAsia" w:ascii="宋体" w:hAnsi="宋体" w:cs="宋体"/>
                <w:snapToGrid w:val="0"/>
                <w:kern w:val="0"/>
                <w:sz w:val="18"/>
                <w:szCs w:val="18"/>
              </w:rPr>
              <w:t>单项金额虽不重大但单项计提坏账准备的其他应收款</w:t>
            </w:r>
          </w:p>
        </w:tc>
        <w:tc>
          <w:tcPr>
            <w:tcW w:w="1200" w:type="dxa"/>
            <w:vAlign w:val="center"/>
          </w:tcPr>
          <w:p>
            <w:pPr>
              <w:jc w:val="right"/>
              <w:rPr>
                <w:rFonts w:ascii="Arial Narrow" w:hAnsi="Arial Narrow" w:cs="Arial Narrow"/>
                <w:snapToGrid w:val="0"/>
                <w:kern w:val="0"/>
                <w:sz w:val="18"/>
                <w:szCs w:val="18"/>
              </w:rPr>
            </w:pPr>
          </w:p>
        </w:tc>
        <w:tc>
          <w:tcPr>
            <w:tcW w:w="1045" w:type="dxa"/>
            <w:vAlign w:val="center"/>
          </w:tcPr>
          <w:p>
            <w:pPr>
              <w:jc w:val="center"/>
              <w:rPr>
                <w:rFonts w:ascii="Arial Narrow" w:hAnsi="Arial Narrow" w:cs="Arial Narrow"/>
                <w:snapToGrid w:val="0"/>
                <w:kern w:val="0"/>
                <w:sz w:val="18"/>
                <w:szCs w:val="18"/>
              </w:rPr>
            </w:pPr>
          </w:p>
        </w:tc>
        <w:tc>
          <w:tcPr>
            <w:tcW w:w="956" w:type="dxa"/>
            <w:vAlign w:val="center"/>
          </w:tcPr>
          <w:p>
            <w:pPr>
              <w:jc w:val="right"/>
              <w:rPr>
                <w:rFonts w:ascii="Arial Narrow" w:hAnsi="Arial Narrow" w:cs="Arial Narrow"/>
                <w:snapToGrid w:val="0"/>
                <w:kern w:val="0"/>
                <w:sz w:val="18"/>
                <w:szCs w:val="18"/>
              </w:rPr>
            </w:pPr>
          </w:p>
        </w:tc>
        <w:tc>
          <w:tcPr>
            <w:tcW w:w="1005" w:type="dxa"/>
            <w:vAlign w:val="center"/>
          </w:tcPr>
          <w:p>
            <w:pPr>
              <w:jc w:val="center"/>
              <w:rPr>
                <w:rFonts w:ascii="Arial Narrow" w:hAnsi="Arial Narrow" w:cs="Arial Narrow"/>
                <w:snapToGrid w:val="0"/>
                <w:kern w:val="0"/>
                <w:sz w:val="18"/>
                <w:szCs w:val="18"/>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373" w:type="dxa"/>
            <w:tcBorders>
              <w:bottom w:val="single" w:color="auto" w:sz="12" w:space="0"/>
            </w:tcBorders>
            <w:vAlign w:val="center"/>
          </w:tcPr>
          <w:p>
            <w:pPr>
              <w:adjustRightInd w:val="0"/>
              <w:snapToGrid w:val="0"/>
              <w:jc w:val="center"/>
              <w:rPr>
                <w:rFonts w:ascii="宋体" w:hAnsi="宋体" w:cs="Arial"/>
                <w:snapToGrid w:val="0"/>
                <w:kern w:val="0"/>
                <w:sz w:val="18"/>
                <w:szCs w:val="18"/>
              </w:rPr>
            </w:pPr>
            <w:r>
              <w:rPr>
                <w:rFonts w:hint="eastAsia" w:ascii="宋体" w:hAnsi="宋体" w:cs="宋体"/>
                <w:snapToGrid w:val="0"/>
                <w:kern w:val="0"/>
                <w:sz w:val="18"/>
                <w:szCs w:val="18"/>
              </w:rPr>
              <w:t>合</w:t>
            </w:r>
            <w:r>
              <w:rPr>
                <w:rFonts w:ascii="宋体" w:hAnsi="宋体" w:cs="Arial"/>
                <w:snapToGrid w:val="0"/>
                <w:kern w:val="0"/>
                <w:sz w:val="18"/>
                <w:szCs w:val="18"/>
              </w:rPr>
              <w:t xml:space="preserve">   </w:t>
            </w:r>
            <w:r>
              <w:rPr>
                <w:rFonts w:hint="eastAsia" w:ascii="宋体" w:hAnsi="宋体" w:cs="宋体"/>
                <w:snapToGrid w:val="0"/>
                <w:kern w:val="0"/>
                <w:sz w:val="18"/>
                <w:szCs w:val="18"/>
              </w:rPr>
              <w:t>计</w:t>
            </w:r>
          </w:p>
        </w:tc>
        <w:tc>
          <w:tcPr>
            <w:tcW w:w="1200" w:type="dxa"/>
            <w:tcBorders>
              <w:bottom w:val="single" w:color="auto" w:sz="12" w:space="0"/>
            </w:tcBorders>
            <w:vAlign w:val="center"/>
          </w:tcPr>
          <w:p>
            <w:pPr>
              <w:widowControl/>
              <w:jc w:val="right"/>
              <w:textAlignment w:val="center"/>
              <w:rPr>
                <w:rFonts w:ascii="Arial Narrow" w:hAnsi="Arial Narrow" w:cs="Arial Narrow"/>
                <w:snapToGrid w:val="0"/>
                <w:kern w:val="0"/>
                <w:sz w:val="18"/>
                <w:szCs w:val="18"/>
              </w:rPr>
            </w:pPr>
            <w:r>
              <w:rPr>
                <w:rFonts w:ascii="Arial" w:hAnsi="Arial" w:cs="Arial"/>
                <w:color w:val="000000"/>
                <w:kern w:val="0"/>
                <w:sz w:val="18"/>
                <w:szCs w:val="18"/>
                <w:lang w:bidi="ar"/>
              </w:rPr>
              <w:t xml:space="preserve"> 54,912.35 </w:t>
            </w:r>
          </w:p>
        </w:tc>
        <w:tc>
          <w:tcPr>
            <w:tcW w:w="1045" w:type="dxa"/>
            <w:tcBorders>
              <w:bottom w:val="single" w:color="auto" w:sz="12" w:space="0"/>
            </w:tcBorders>
            <w:vAlign w:val="center"/>
          </w:tcPr>
          <w:p>
            <w:pPr>
              <w:widowControl/>
              <w:jc w:val="right"/>
              <w:textAlignment w:val="center"/>
              <w:rPr>
                <w:rFonts w:ascii="Arial Narrow" w:hAnsi="Arial Narrow" w:cs="Arial Narrow"/>
                <w:snapToGrid w:val="0"/>
                <w:kern w:val="0"/>
                <w:sz w:val="18"/>
                <w:szCs w:val="18"/>
              </w:rPr>
            </w:pPr>
            <w:r>
              <w:rPr>
                <w:rFonts w:ascii="Arial" w:hAnsi="Arial" w:cs="Arial"/>
                <w:color w:val="000000"/>
                <w:kern w:val="0"/>
                <w:sz w:val="18"/>
                <w:szCs w:val="18"/>
                <w:lang w:bidi="ar"/>
              </w:rPr>
              <w:t xml:space="preserve"> 100.00 </w:t>
            </w:r>
          </w:p>
        </w:tc>
        <w:tc>
          <w:tcPr>
            <w:tcW w:w="956" w:type="dxa"/>
            <w:tcBorders>
              <w:bottom w:val="single" w:color="auto" w:sz="12" w:space="0"/>
            </w:tcBorders>
            <w:vAlign w:val="center"/>
          </w:tcPr>
          <w:p>
            <w:pPr>
              <w:widowControl/>
              <w:jc w:val="right"/>
              <w:textAlignment w:val="center"/>
              <w:rPr>
                <w:rFonts w:ascii="Arial Narrow" w:hAnsi="Arial Narrow" w:cs="Arial Narrow"/>
                <w:snapToGrid w:val="0"/>
                <w:kern w:val="0"/>
                <w:sz w:val="18"/>
                <w:szCs w:val="18"/>
              </w:rPr>
            </w:pPr>
            <w:r>
              <w:rPr>
                <w:rFonts w:ascii="Arial" w:hAnsi="Arial" w:cs="Arial"/>
                <w:color w:val="000000"/>
                <w:kern w:val="0"/>
                <w:sz w:val="18"/>
                <w:szCs w:val="18"/>
                <w:lang w:bidi="ar"/>
              </w:rPr>
              <w:t xml:space="preserve"> 274.56 </w:t>
            </w:r>
          </w:p>
        </w:tc>
        <w:tc>
          <w:tcPr>
            <w:tcW w:w="1005" w:type="dxa"/>
            <w:tcBorders>
              <w:bottom w:val="single" w:color="auto" w:sz="12" w:space="0"/>
            </w:tcBorders>
            <w:vAlign w:val="center"/>
          </w:tcPr>
          <w:p>
            <w:pPr>
              <w:widowControl/>
              <w:jc w:val="right"/>
              <w:textAlignment w:val="center"/>
              <w:rPr>
                <w:rFonts w:ascii="Arial Narrow" w:hAnsi="Arial Narrow" w:cs="Arial Narrow"/>
                <w:snapToGrid w:val="0"/>
                <w:kern w:val="0"/>
                <w:sz w:val="18"/>
                <w:szCs w:val="18"/>
              </w:rPr>
            </w:pPr>
            <w:r>
              <w:rPr>
                <w:rFonts w:ascii="Arial" w:hAnsi="Arial" w:cs="Arial"/>
                <w:color w:val="000000"/>
                <w:kern w:val="0"/>
                <w:sz w:val="18"/>
                <w:szCs w:val="18"/>
                <w:lang w:bidi="ar"/>
              </w:rPr>
              <w:t xml:space="preserve">100.00 </w:t>
            </w:r>
          </w:p>
        </w:tc>
      </w:tr>
    </w:tbl>
    <w:p>
      <w:pPr>
        <w:snapToGrid w:val="0"/>
        <w:spacing w:line="460" w:lineRule="atLeast"/>
        <w:ind w:left="420"/>
        <w:rPr>
          <w:rFonts w:ascii="宋体" w:hAnsi="宋体"/>
          <w:bCs/>
          <w:snapToGrid w:val="0"/>
          <w:kern w:val="0"/>
        </w:rPr>
      </w:pPr>
    </w:p>
    <w:tbl>
      <w:tblPr>
        <w:tblStyle w:val="31"/>
        <w:tblW w:w="8614" w:type="dxa"/>
        <w:jc w:val="center"/>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4345"/>
        <w:gridCol w:w="1335"/>
        <w:gridCol w:w="1077"/>
        <w:gridCol w:w="873"/>
        <w:gridCol w:w="984"/>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blHeader/>
          <w:jc w:val="center"/>
        </w:trPr>
        <w:tc>
          <w:tcPr>
            <w:tcW w:w="4345" w:type="dxa"/>
            <w:vMerge w:val="restart"/>
            <w:tcBorders>
              <w:top w:val="single" w:color="auto" w:sz="12" w:space="0"/>
            </w:tcBorders>
            <w:vAlign w:val="center"/>
          </w:tcPr>
          <w:p>
            <w:pPr>
              <w:adjustRightInd w:val="0"/>
              <w:snapToGrid w:val="0"/>
              <w:jc w:val="center"/>
              <w:rPr>
                <w:rFonts w:ascii="宋体" w:hAnsi="宋体" w:cs="Arial Narrow"/>
                <w:snapToGrid w:val="0"/>
                <w:kern w:val="0"/>
                <w:sz w:val="18"/>
                <w:szCs w:val="18"/>
              </w:rPr>
            </w:pPr>
            <w:r>
              <w:rPr>
                <w:rFonts w:hint="eastAsia" w:ascii="宋体" w:hAnsi="宋体" w:cs="宋体"/>
                <w:snapToGrid w:val="0"/>
                <w:kern w:val="0"/>
                <w:sz w:val="18"/>
                <w:szCs w:val="18"/>
              </w:rPr>
              <w:t>类  别</w:t>
            </w:r>
          </w:p>
        </w:tc>
        <w:tc>
          <w:tcPr>
            <w:tcW w:w="4269" w:type="dxa"/>
            <w:gridSpan w:val="4"/>
            <w:tcBorders>
              <w:top w:val="single" w:color="auto" w:sz="12" w:space="0"/>
            </w:tcBorders>
            <w:vAlign w:val="center"/>
          </w:tcPr>
          <w:p>
            <w:pPr>
              <w:adjustRightInd w:val="0"/>
              <w:snapToGrid w:val="0"/>
              <w:jc w:val="center"/>
              <w:rPr>
                <w:rFonts w:ascii="宋体" w:hAnsi="宋体" w:cs="Arial Narrow"/>
                <w:snapToGrid w:val="0"/>
                <w:kern w:val="0"/>
                <w:sz w:val="18"/>
                <w:szCs w:val="18"/>
              </w:rPr>
            </w:pPr>
            <w:r>
              <w:rPr>
                <w:rFonts w:hint="eastAsia" w:ascii="宋体" w:hAnsi="宋体" w:cs="Arial Narrow"/>
                <w:snapToGrid w:val="0"/>
                <w:kern w:val="0"/>
                <w:sz w:val="18"/>
                <w:szCs w:val="18"/>
              </w:rPr>
              <w:t>期初数</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blHeader/>
          <w:jc w:val="center"/>
        </w:trPr>
        <w:tc>
          <w:tcPr>
            <w:tcW w:w="4345" w:type="dxa"/>
            <w:vMerge w:val="continue"/>
            <w:vAlign w:val="center"/>
          </w:tcPr>
          <w:p>
            <w:pPr>
              <w:adjustRightInd w:val="0"/>
              <w:snapToGrid w:val="0"/>
              <w:jc w:val="center"/>
              <w:rPr>
                <w:rFonts w:ascii="宋体" w:hAnsi="宋体" w:cs="Arial Narrow"/>
                <w:snapToGrid w:val="0"/>
                <w:kern w:val="0"/>
                <w:sz w:val="18"/>
                <w:szCs w:val="18"/>
              </w:rPr>
            </w:pPr>
          </w:p>
        </w:tc>
        <w:tc>
          <w:tcPr>
            <w:tcW w:w="2412" w:type="dxa"/>
            <w:gridSpan w:val="2"/>
            <w:vAlign w:val="center"/>
          </w:tcPr>
          <w:p>
            <w:pPr>
              <w:adjustRightInd w:val="0"/>
              <w:snapToGrid w:val="0"/>
              <w:jc w:val="center"/>
              <w:rPr>
                <w:rFonts w:ascii="宋体" w:hAnsi="宋体" w:cs="Arial Narrow"/>
                <w:snapToGrid w:val="0"/>
                <w:kern w:val="0"/>
                <w:sz w:val="18"/>
                <w:szCs w:val="18"/>
              </w:rPr>
            </w:pPr>
            <w:r>
              <w:rPr>
                <w:rFonts w:hint="eastAsia" w:ascii="宋体" w:hAnsi="宋体" w:cs="宋体"/>
                <w:snapToGrid w:val="0"/>
                <w:kern w:val="0"/>
                <w:sz w:val="18"/>
                <w:szCs w:val="18"/>
              </w:rPr>
              <w:t>账面余额</w:t>
            </w:r>
          </w:p>
        </w:tc>
        <w:tc>
          <w:tcPr>
            <w:tcW w:w="1857" w:type="dxa"/>
            <w:gridSpan w:val="2"/>
            <w:vAlign w:val="center"/>
          </w:tcPr>
          <w:p>
            <w:pPr>
              <w:adjustRightInd w:val="0"/>
              <w:snapToGrid w:val="0"/>
              <w:jc w:val="center"/>
              <w:rPr>
                <w:rFonts w:ascii="宋体" w:hAnsi="宋体" w:cs="Arial Narrow"/>
                <w:snapToGrid w:val="0"/>
                <w:kern w:val="0"/>
                <w:sz w:val="18"/>
                <w:szCs w:val="18"/>
              </w:rPr>
            </w:pPr>
            <w:r>
              <w:rPr>
                <w:rFonts w:hint="eastAsia" w:ascii="宋体" w:hAnsi="宋体" w:cs="宋体"/>
                <w:snapToGrid w:val="0"/>
                <w:kern w:val="0"/>
                <w:sz w:val="18"/>
                <w:szCs w:val="18"/>
              </w:rPr>
              <w:t>坏账准备</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blHeader/>
          <w:jc w:val="center"/>
        </w:trPr>
        <w:tc>
          <w:tcPr>
            <w:tcW w:w="4345" w:type="dxa"/>
            <w:vMerge w:val="continue"/>
            <w:vAlign w:val="center"/>
          </w:tcPr>
          <w:p>
            <w:pPr>
              <w:adjustRightInd w:val="0"/>
              <w:snapToGrid w:val="0"/>
              <w:jc w:val="center"/>
              <w:rPr>
                <w:rFonts w:ascii="宋体" w:hAnsi="宋体" w:cs="Arial Narrow"/>
                <w:snapToGrid w:val="0"/>
                <w:kern w:val="0"/>
                <w:sz w:val="18"/>
                <w:szCs w:val="18"/>
              </w:rPr>
            </w:pPr>
          </w:p>
        </w:tc>
        <w:tc>
          <w:tcPr>
            <w:tcW w:w="1335" w:type="dxa"/>
            <w:vAlign w:val="center"/>
          </w:tcPr>
          <w:p>
            <w:pPr>
              <w:adjustRightInd w:val="0"/>
              <w:snapToGrid w:val="0"/>
              <w:jc w:val="center"/>
              <w:rPr>
                <w:rFonts w:ascii="宋体" w:hAnsi="宋体" w:cs="Arial Narrow"/>
                <w:snapToGrid w:val="0"/>
                <w:kern w:val="0"/>
                <w:sz w:val="18"/>
                <w:szCs w:val="18"/>
              </w:rPr>
            </w:pPr>
            <w:r>
              <w:rPr>
                <w:rFonts w:hint="eastAsia" w:ascii="宋体" w:hAnsi="宋体" w:cs="宋体"/>
                <w:snapToGrid w:val="0"/>
                <w:kern w:val="0"/>
                <w:sz w:val="18"/>
                <w:szCs w:val="18"/>
              </w:rPr>
              <w:t>金额</w:t>
            </w:r>
          </w:p>
        </w:tc>
        <w:tc>
          <w:tcPr>
            <w:tcW w:w="1077" w:type="dxa"/>
            <w:vAlign w:val="center"/>
          </w:tcPr>
          <w:p>
            <w:pPr>
              <w:adjustRightInd w:val="0"/>
              <w:snapToGrid w:val="0"/>
              <w:jc w:val="center"/>
              <w:rPr>
                <w:rFonts w:ascii="宋体" w:hAnsi="宋体" w:cs="宋体"/>
                <w:snapToGrid w:val="0"/>
                <w:kern w:val="0"/>
                <w:sz w:val="18"/>
                <w:szCs w:val="18"/>
              </w:rPr>
            </w:pPr>
            <w:r>
              <w:rPr>
                <w:rFonts w:hint="eastAsia" w:ascii="宋体" w:hAnsi="宋体" w:cs="宋体"/>
                <w:snapToGrid w:val="0"/>
                <w:kern w:val="0"/>
                <w:sz w:val="18"/>
                <w:szCs w:val="18"/>
              </w:rPr>
              <w:t>比例</w:t>
            </w:r>
          </w:p>
          <w:p>
            <w:pPr>
              <w:adjustRightInd w:val="0"/>
              <w:snapToGrid w:val="0"/>
              <w:jc w:val="center"/>
              <w:rPr>
                <w:rFonts w:ascii="宋体" w:hAnsi="宋体" w:cs="Arial Narrow"/>
                <w:snapToGrid w:val="0"/>
                <w:kern w:val="0"/>
                <w:sz w:val="18"/>
                <w:szCs w:val="18"/>
              </w:rPr>
            </w:pPr>
            <w:r>
              <w:rPr>
                <w:rFonts w:ascii="宋体" w:hAnsi="宋体" w:cs="Arial Narrow"/>
                <w:snapToGrid w:val="0"/>
                <w:kern w:val="0"/>
                <w:sz w:val="18"/>
                <w:szCs w:val="18"/>
              </w:rPr>
              <w:t>(%)</w:t>
            </w:r>
          </w:p>
        </w:tc>
        <w:tc>
          <w:tcPr>
            <w:tcW w:w="873" w:type="dxa"/>
            <w:vAlign w:val="center"/>
          </w:tcPr>
          <w:p>
            <w:pPr>
              <w:adjustRightInd w:val="0"/>
              <w:snapToGrid w:val="0"/>
              <w:jc w:val="center"/>
              <w:rPr>
                <w:rFonts w:ascii="宋体" w:hAnsi="宋体" w:cs="Arial Narrow"/>
                <w:snapToGrid w:val="0"/>
                <w:kern w:val="0"/>
                <w:sz w:val="18"/>
                <w:szCs w:val="18"/>
              </w:rPr>
            </w:pPr>
            <w:r>
              <w:rPr>
                <w:rFonts w:hint="eastAsia" w:ascii="宋体" w:hAnsi="宋体" w:cs="宋体"/>
                <w:snapToGrid w:val="0"/>
                <w:kern w:val="0"/>
                <w:sz w:val="18"/>
                <w:szCs w:val="18"/>
              </w:rPr>
              <w:t>金额</w:t>
            </w:r>
          </w:p>
        </w:tc>
        <w:tc>
          <w:tcPr>
            <w:tcW w:w="984" w:type="dxa"/>
            <w:vAlign w:val="center"/>
          </w:tcPr>
          <w:p>
            <w:pPr>
              <w:adjustRightInd w:val="0"/>
              <w:snapToGrid w:val="0"/>
              <w:jc w:val="center"/>
              <w:rPr>
                <w:rFonts w:ascii="宋体" w:hAnsi="宋体" w:cs="宋体"/>
                <w:snapToGrid w:val="0"/>
                <w:kern w:val="0"/>
                <w:sz w:val="18"/>
                <w:szCs w:val="18"/>
              </w:rPr>
            </w:pPr>
            <w:r>
              <w:rPr>
                <w:rFonts w:hint="eastAsia" w:ascii="宋体" w:hAnsi="宋体" w:cs="宋体"/>
                <w:snapToGrid w:val="0"/>
                <w:kern w:val="0"/>
                <w:sz w:val="18"/>
                <w:szCs w:val="18"/>
              </w:rPr>
              <w:t>计提比例</w:t>
            </w:r>
          </w:p>
          <w:p>
            <w:pPr>
              <w:adjustRightInd w:val="0"/>
              <w:snapToGrid w:val="0"/>
              <w:jc w:val="center"/>
              <w:rPr>
                <w:rFonts w:ascii="宋体" w:hAnsi="宋体" w:cs="Arial Narrow"/>
                <w:snapToGrid w:val="0"/>
                <w:kern w:val="0"/>
                <w:sz w:val="18"/>
                <w:szCs w:val="18"/>
              </w:rPr>
            </w:pPr>
            <w:r>
              <w:rPr>
                <w:rFonts w:ascii="宋体" w:hAnsi="宋体" w:cs="Arial Narrow"/>
                <w:snapToGrid w:val="0"/>
                <w:kern w:val="0"/>
                <w:sz w:val="18"/>
                <w:szCs w:val="18"/>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345" w:type="dxa"/>
            <w:vAlign w:val="center"/>
          </w:tcPr>
          <w:p>
            <w:pPr>
              <w:adjustRightInd w:val="0"/>
              <w:snapToGrid w:val="0"/>
              <w:rPr>
                <w:rFonts w:ascii="宋体" w:hAnsi="宋体" w:cs="Arial"/>
                <w:snapToGrid w:val="0"/>
                <w:kern w:val="0"/>
                <w:sz w:val="18"/>
                <w:szCs w:val="18"/>
              </w:rPr>
            </w:pPr>
            <w:r>
              <w:rPr>
                <w:rFonts w:hint="eastAsia" w:ascii="宋体" w:hAnsi="宋体" w:cs="宋体"/>
                <w:snapToGrid w:val="0"/>
                <w:kern w:val="0"/>
                <w:sz w:val="18"/>
                <w:szCs w:val="18"/>
              </w:rPr>
              <w:t>单项金额重大并单项计提坏账准备的其他应收款</w:t>
            </w:r>
          </w:p>
        </w:tc>
        <w:tc>
          <w:tcPr>
            <w:tcW w:w="1335" w:type="dxa"/>
            <w:vAlign w:val="center"/>
          </w:tcPr>
          <w:p>
            <w:pPr>
              <w:widowControl/>
              <w:jc w:val="right"/>
              <w:textAlignment w:val="center"/>
              <w:rPr>
                <w:rFonts w:ascii="Arial Narrow" w:hAnsi="Arial Narrow" w:cs="Arial Narrow"/>
                <w:snapToGrid w:val="0"/>
                <w:kern w:val="0"/>
                <w:sz w:val="18"/>
                <w:szCs w:val="18"/>
              </w:rPr>
            </w:pPr>
            <w:r>
              <w:rPr>
                <w:rFonts w:ascii="Arial" w:hAnsi="Arial" w:cs="Arial"/>
                <w:color w:val="000000"/>
                <w:kern w:val="0"/>
                <w:sz w:val="18"/>
                <w:szCs w:val="18"/>
                <w:lang w:bidi="ar"/>
              </w:rPr>
              <w:t>　</w:t>
            </w:r>
          </w:p>
        </w:tc>
        <w:tc>
          <w:tcPr>
            <w:tcW w:w="1077" w:type="dxa"/>
            <w:vAlign w:val="center"/>
          </w:tcPr>
          <w:p>
            <w:pPr>
              <w:widowControl/>
              <w:jc w:val="center"/>
              <w:textAlignment w:val="center"/>
              <w:rPr>
                <w:rFonts w:ascii="Arial Narrow" w:hAnsi="Arial Narrow" w:cs="Arial Narrow"/>
                <w:snapToGrid w:val="0"/>
                <w:kern w:val="0"/>
                <w:sz w:val="18"/>
                <w:szCs w:val="18"/>
              </w:rPr>
            </w:pPr>
            <w:r>
              <w:rPr>
                <w:rFonts w:ascii="Arial" w:hAnsi="Arial" w:cs="Arial"/>
                <w:color w:val="000000"/>
                <w:kern w:val="0"/>
                <w:sz w:val="18"/>
                <w:szCs w:val="18"/>
                <w:lang w:bidi="ar"/>
              </w:rPr>
              <w:t>　</w:t>
            </w:r>
          </w:p>
        </w:tc>
        <w:tc>
          <w:tcPr>
            <w:tcW w:w="873" w:type="dxa"/>
            <w:vAlign w:val="center"/>
          </w:tcPr>
          <w:p>
            <w:pPr>
              <w:widowControl/>
              <w:jc w:val="right"/>
              <w:textAlignment w:val="center"/>
              <w:rPr>
                <w:rFonts w:ascii="Arial Narrow" w:hAnsi="Arial Narrow" w:cs="Arial Narrow"/>
                <w:snapToGrid w:val="0"/>
                <w:kern w:val="0"/>
                <w:sz w:val="18"/>
                <w:szCs w:val="18"/>
              </w:rPr>
            </w:pPr>
            <w:r>
              <w:rPr>
                <w:rFonts w:ascii="Arial" w:hAnsi="Arial" w:cs="Arial"/>
                <w:color w:val="000000"/>
                <w:kern w:val="0"/>
                <w:sz w:val="18"/>
                <w:szCs w:val="18"/>
                <w:lang w:bidi="ar"/>
              </w:rPr>
              <w:t>　</w:t>
            </w:r>
          </w:p>
        </w:tc>
        <w:tc>
          <w:tcPr>
            <w:tcW w:w="984" w:type="dxa"/>
            <w:vAlign w:val="center"/>
          </w:tcPr>
          <w:p>
            <w:pPr>
              <w:widowControl/>
              <w:jc w:val="center"/>
              <w:textAlignment w:val="center"/>
              <w:rPr>
                <w:rFonts w:ascii="Arial Narrow" w:hAnsi="Arial Narrow" w:cs="Arial Narrow"/>
                <w:snapToGrid w:val="0"/>
                <w:kern w:val="0"/>
                <w:sz w:val="18"/>
                <w:szCs w:val="18"/>
              </w:rPr>
            </w:pPr>
            <w:r>
              <w:rPr>
                <w:rFonts w:ascii="Arial" w:hAnsi="Arial" w:cs="Arial"/>
                <w:color w:val="000000"/>
                <w:kern w:val="0"/>
                <w:sz w:val="18"/>
                <w:szCs w:val="18"/>
                <w:lang w:bidi="ar"/>
              </w:rPr>
              <w:t>　</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345" w:type="dxa"/>
            <w:vAlign w:val="center"/>
          </w:tcPr>
          <w:p>
            <w:pPr>
              <w:adjustRightInd w:val="0"/>
              <w:snapToGrid w:val="0"/>
              <w:rPr>
                <w:rFonts w:ascii="宋体" w:hAnsi="宋体" w:cs="Arial"/>
                <w:snapToGrid w:val="0"/>
                <w:kern w:val="0"/>
                <w:sz w:val="18"/>
                <w:szCs w:val="18"/>
              </w:rPr>
            </w:pPr>
            <w:r>
              <w:rPr>
                <w:rFonts w:hint="eastAsia" w:ascii="宋体" w:hAnsi="宋体" w:cs="宋体"/>
                <w:snapToGrid w:val="0"/>
                <w:kern w:val="0"/>
                <w:sz w:val="18"/>
                <w:szCs w:val="18"/>
              </w:rPr>
              <w:t>按组合计提坏账准备的其他应收款</w:t>
            </w:r>
          </w:p>
        </w:tc>
        <w:tc>
          <w:tcPr>
            <w:tcW w:w="1335" w:type="dxa"/>
            <w:vAlign w:val="center"/>
          </w:tcPr>
          <w:p>
            <w:pPr>
              <w:widowControl/>
              <w:jc w:val="right"/>
              <w:textAlignment w:val="center"/>
              <w:rPr>
                <w:rFonts w:ascii="Arial" w:hAnsi="Arial" w:cs="Arial"/>
                <w:snapToGrid w:val="0"/>
                <w:kern w:val="0"/>
                <w:sz w:val="18"/>
                <w:szCs w:val="18"/>
              </w:rPr>
            </w:pPr>
            <w:r>
              <w:rPr>
                <w:rFonts w:ascii="Arial" w:hAnsi="Arial" w:cs="Arial"/>
                <w:color w:val="000000"/>
                <w:kern w:val="0"/>
                <w:sz w:val="18"/>
                <w:szCs w:val="18"/>
                <w:lang w:bidi="ar"/>
              </w:rPr>
              <w:t xml:space="preserve"> 500.00 </w:t>
            </w:r>
          </w:p>
        </w:tc>
        <w:tc>
          <w:tcPr>
            <w:tcW w:w="1077" w:type="dxa"/>
            <w:vAlign w:val="center"/>
          </w:tcPr>
          <w:p>
            <w:pPr>
              <w:widowControl/>
              <w:jc w:val="center"/>
              <w:textAlignment w:val="center"/>
              <w:rPr>
                <w:rFonts w:ascii="Arial" w:hAnsi="Arial" w:cs="Arial"/>
                <w:snapToGrid w:val="0"/>
                <w:kern w:val="0"/>
                <w:sz w:val="18"/>
                <w:szCs w:val="18"/>
              </w:rPr>
            </w:pPr>
            <w:r>
              <w:rPr>
                <w:rFonts w:ascii="Arial" w:hAnsi="Arial" w:cs="Arial"/>
                <w:color w:val="000000"/>
                <w:kern w:val="0"/>
                <w:sz w:val="18"/>
                <w:szCs w:val="18"/>
                <w:lang w:bidi="ar"/>
              </w:rPr>
              <w:t xml:space="preserve"> 100.00 </w:t>
            </w:r>
          </w:p>
        </w:tc>
        <w:tc>
          <w:tcPr>
            <w:tcW w:w="873" w:type="dxa"/>
            <w:vAlign w:val="center"/>
          </w:tcPr>
          <w:p>
            <w:pPr>
              <w:widowControl/>
              <w:jc w:val="right"/>
              <w:textAlignment w:val="center"/>
              <w:rPr>
                <w:rFonts w:ascii="Arial" w:hAnsi="Arial" w:cs="Arial"/>
                <w:snapToGrid w:val="0"/>
                <w:kern w:val="0"/>
                <w:sz w:val="18"/>
                <w:szCs w:val="18"/>
              </w:rPr>
            </w:pPr>
            <w:r>
              <w:rPr>
                <w:rFonts w:ascii="Arial" w:hAnsi="Arial" w:cs="Arial"/>
                <w:color w:val="000000"/>
                <w:kern w:val="0"/>
                <w:sz w:val="18"/>
                <w:szCs w:val="18"/>
                <w:lang w:bidi="ar"/>
              </w:rPr>
              <w:t xml:space="preserve"> 2.50 </w:t>
            </w:r>
          </w:p>
        </w:tc>
        <w:tc>
          <w:tcPr>
            <w:tcW w:w="984" w:type="dxa"/>
            <w:vAlign w:val="center"/>
          </w:tcPr>
          <w:p>
            <w:pPr>
              <w:widowControl/>
              <w:jc w:val="center"/>
              <w:textAlignment w:val="center"/>
              <w:rPr>
                <w:rFonts w:ascii="Arial" w:hAnsi="Arial" w:cs="Arial"/>
                <w:snapToGrid w:val="0"/>
                <w:kern w:val="0"/>
                <w:sz w:val="18"/>
                <w:szCs w:val="18"/>
              </w:rPr>
            </w:pPr>
            <w:r>
              <w:rPr>
                <w:rFonts w:ascii="Arial" w:hAnsi="Arial" w:cs="Arial"/>
                <w:color w:val="000000"/>
                <w:kern w:val="0"/>
                <w:sz w:val="18"/>
                <w:szCs w:val="18"/>
                <w:lang w:bidi="ar"/>
              </w:rPr>
              <w:t xml:space="preserve">100.00 </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345" w:type="dxa"/>
            <w:vAlign w:val="center"/>
          </w:tcPr>
          <w:p>
            <w:pPr>
              <w:pStyle w:val="59"/>
              <w:adjustRightInd w:val="0"/>
              <w:snapToGrid w:val="0"/>
              <w:spacing w:after="0"/>
              <w:ind w:left="0" w:leftChars="0" w:firstLine="360"/>
              <w:rPr>
                <w:rFonts w:cs="Arial" w:asciiTheme="minorEastAsia" w:hAnsiTheme="minorEastAsia" w:eastAsiaTheme="minorEastAsia"/>
                <w:snapToGrid w:val="0"/>
                <w:kern w:val="0"/>
                <w:sz w:val="18"/>
                <w:szCs w:val="18"/>
              </w:rPr>
            </w:pPr>
            <w:r>
              <w:rPr>
                <w:rFonts w:hint="eastAsia" w:cs="Arial" w:asciiTheme="minorEastAsia" w:hAnsiTheme="minorEastAsia" w:eastAsiaTheme="minorEastAsia"/>
                <w:snapToGrid w:val="0"/>
                <w:kern w:val="0"/>
                <w:sz w:val="18"/>
                <w:szCs w:val="18"/>
              </w:rPr>
              <w:t>受同一母公司控制且纳入合并范围内关联方往来</w:t>
            </w:r>
          </w:p>
        </w:tc>
        <w:tc>
          <w:tcPr>
            <w:tcW w:w="1335" w:type="dxa"/>
            <w:vAlign w:val="center"/>
          </w:tcPr>
          <w:p>
            <w:pPr>
              <w:jc w:val="right"/>
              <w:rPr>
                <w:rFonts w:ascii="Arial" w:hAnsi="Arial" w:cs="Arial"/>
                <w:color w:val="000000"/>
                <w:sz w:val="18"/>
                <w:szCs w:val="18"/>
              </w:rPr>
            </w:pPr>
          </w:p>
        </w:tc>
        <w:tc>
          <w:tcPr>
            <w:tcW w:w="1077" w:type="dxa"/>
            <w:vAlign w:val="center"/>
          </w:tcPr>
          <w:p>
            <w:pPr>
              <w:jc w:val="right"/>
              <w:rPr>
                <w:rFonts w:ascii="Arial" w:hAnsi="Arial" w:cs="Arial"/>
                <w:color w:val="000000"/>
                <w:sz w:val="18"/>
                <w:szCs w:val="18"/>
              </w:rPr>
            </w:pPr>
          </w:p>
        </w:tc>
        <w:tc>
          <w:tcPr>
            <w:tcW w:w="873" w:type="dxa"/>
            <w:vAlign w:val="center"/>
          </w:tcPr>
          <w:p>
            <w:pPr>
              <w:jc w:val="right"/>
              <w:rPr>
                <w:rFonts w:ascii="Arial" w:hAnsi="Arial" w:cs="Arial"/>
                <w:color w:val="000000"/>
                <w:sz w:val="18"/>
                <w:szCs w:val="18"/>
              </w:rPr>
            </w:pPr>
          </w:p>
        </w:tc>
        <w:tc>
          <w:tcPr>
            <w:tcW w:w="984" w:type="dxa"/>
            <w:vAlign w:val="center"/>
          </w:tcPr>
          <w:p>
            <w:pPr>
              <w:jc w:val="right"/>
              <w:rPr>
                <w:rFonts w:ascii="Arial" w:hAnsi="Arial" w:cs="Arial"/>
                <w:color w:val="000000"/>
                <w:sz w:val="18"/>
                <w:szCs w:val="18"/>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345" w:type="dxa"/>
            <w:vAlign w:val="center"/>
          </w:tcPr>
          <w:p>
            <w:pPr>
              <w:pStyle w:val="59"/>
              <w:adjustRightInd w:val="0"/>
              <w:snapToGrid w:val="0"/>
              <w:spacing w:after="0"/>
              <w:ind w:left="0" w:leftChars="0" w:firstLine="360"/>
              <w:rPr>
                <w:rFonts w:cs="Arial" w:asciiTheme="minorEastAsia" w:hAnsiTheme="minorEastAsia" w:eastAsiaTheme="minorEastAsia"/>
                <w:snapToGrid w:val="0"/>
                <w:kern w:val="0"/>
                <w:sz w:val="18"/>
                <w:szCs w:val="18"/>
              </w:rPr>
            </w:pPr>
            <w:r>
              <w:rPr>
                <w:rFonts w:hint="eastAsia" w:cs="Arial" w:asciiTheme="minorEastAsia" w:hAnsiTheme="minorEastAsia" w:eastAsiaTheme="minorEastAsia"/>
                <w:snapToGrid w:val="0"/>
                <w:kern w:val="0"/>
                <w:sz w:val="18"/>
                <w:szCs w:val="18"/>
              </w:rPr>
              <w:t>账龄组合</w:t>
            </w:r>
          </w:p>
        </w:tc>
        <w:tc>
          <w:tcPr>
            <w:tcW w:w="1335" w:type="dxa"/>
            <w:vAlign w:val="center"/>
          </w:tcPr>
          <w:p>
            <w:pPr>
              <w:jc w:val="right"/>
              <w:rPr>
                <w:rFonts w:ascii="Arial" w:hAnsi="Arial" w:cs="Arial"/>
                <w:color w:val="000000"/>
                <w:sz w:val="18"/>
                <w:szCs w:val="18"/>
              </w:rPr>
            </w:pPr>
          </w:p>
        </w:tc>
        <w:tc>
          <w:tcPr>
            <w:tcW w:w="1077" w:type="dxa"/>
            <w:vAlign w:val="center"/>
          </w:tcPr>
          <w:p>
            <w:pPr>
              <w:jc w:val="right"/>
              <w:rPr>
                <w:rFonts w:ascii="Arial" w:hAnsi="Arial" w:cs="Arial"/>
                <w:color w:val="000000"/>
                <w:sz w:val="18"/>
                <w:szCs w:val="18"/>
              </w:rPr>
            </w:pPr>
          </w:p>
        </w:tc>
        <w:tc>
          <w:tcPr>
            <w:tcW w:w="873" w:type="dxa"/>
            <w:vAlign w:val="center"/>
          </w:tcPr>
          <w:p>
            <w:pPr>
              <w:jc w:val="right"/>
              <w:rPr>
                <w:rFonts w:ascii="Arial" w:hAnsi="Arial" w:cs="Arial"/>
                <w:color w:val="000000"/>
                <w:sz w:val="18"/>
                <w:szCs w:val="18"/>
              </w:rPr>
            </w:pPr>
          </w:p>
        </w:tc>
        <w:tc>
          <w:tcPr>
            <w:tcW w:w="984" w:type="dxa"/>
            <w:vAlign w:val="center"/>
          </w:tcPr>
          <w:p>
            <w:pPr>
              <w:jc w:val="right"/>
              <w:rPr>
                <w:rFonts w:ascii="Arial" w:hAnsi="Arial" w:cs="Arial"/>
                <w:color w:val="000000"/>
                <w:sz w:val="18"/>
                <w:szCs w:val="18"/>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345" w:type="dxa"/>
            <w:vAlign w:val="center"/>
          </w:tcPr>
          <w:p>
            <w:pPr>
              <w:adjustRightInd w:val="0"/>
              <w:snapToGrid w:val="0"/>
              <w:jc w:val="center"/>
              <w:rPr>
                <w:rFonts w:ascii="宋体" w:hAnsi="宋体" w:cs="宋体"/>
                <w:snapToGrid w:val="0"/>
                <w:kern w:val="0"/>
                <w:sz w:val="18"/>
                <w:szCs w:val="18"/>
              </w:rPr>
            </w:pPr>
            <w:r>
              <w:rPr>
                <w:rFonts w:hint="eastAsia" w:ascii="宋体" w:hAnsi="宋体" w:cs="宋体"/>
                <w:snapToGrid w:val="0"/>
                <w:kern w:val="0"/>
                <w:sz w:val="18"/>
                <w:szCs w:val="18"/>
              </w:rPr>
              <w:t>小计</w:t>
            </w:r>
          </w:p>
        </w:tc>
        <w:tc>
          <w:tcPr>
            <w:tcW w:w="1335" w:type="dxa"/>
            <w:vAlign w:val="center"/>
          </w:tcPr>
          <w:p>
            <w:pPr>
              <w:widowControl/>
              <w:jc w:val="right"/>
              <w:textAlignment w:val="center"/>
              <w:rPr>
                <w:rFonts w:ascii="Arial" w:hAnsi="Arial" w:cs="Arial"/>
                <w:color w:val="000000"/>
                <w:sz w:val="18"/>
                <w:szCs w:val="18"/>
              </w:rPr>
            </w:pPr>
            <w:r>
              <w:rPr>
                <w:rFonts w:ascii="Arial" w:hAnsi="Arial" w:cs="Arial"/>
                <w:color w:val="000000"/>
                <w:kern w:val="0"/>
                <w:sz w:val="18"/>
                <w:szCs w:val="18"/>
                <w:lang w:bidi="ar"/>
              </w:rPr>
              <w:t xml:space="preserve"> 500.00 </w:t>
            </w:r>
          </w:p>
        </w:tc>
        <w:tc>
          <w:tcPr>
            <w:tcW w:w="1077" w:type="dxa"/>
            <w:vAlign w:val="center"/>
          </w:tcPr>
          <w:p>
            <w:pPr>
              <w:widowControl/>
              <w:jc w:val="right"/>
              <w:textAlignment w:val="center"/>
              <w:rPr>
                <w:rFonts w:ascii="Arial" w:hAnsi="Arial" w:cs="Arial"/>
                <w:color w:val="000000"/>
                <w:sz w:val="18"/>
                <w:szCs w:val="18"/>
              </w:rPr>
            </w:pPr>
            <w:r>
              <w:rPr>
                <w:rFonts w:ascii="Arial" w:hAnsi="Arial" w:cs="Arial"/>
                <w:color w:val="000000"/>
                <w:kern w:val="0"/>
                <w:sz w:val="18"/>
                <w:szCs w:val="18"/>
                <w:lang w:bidi="ar"/>
              </w:rPr>
              <w:t xml:space="preserve"> 100.00 </w:t>
            </w:r>
          </w:p>
        </w:tc>
        <w:tc>
          <w:tcPr>
            <w:tcW w:w="873" w:type="dxa"/>
            <w:vAlign w:val="center"/>
          </w:tcPr>
          <w:p>
            <w:pPr>
              <w:widowControl/>
              <w:jc w:val="right"/>
              <w:textAlignment w:val="center"/>
              <w:rPr>
                <w:rFonts w:ascii="Arial" w:hAnsi="Arial" w:cs="Arial"/>
                <w:color w:val="000000"/>
                <w:sz w:val="18"/>
                <w:szCs w:val="18"/>
              </w:rPr>
            </w:pPr>
            <w:r>
              <w:rPr>
                <w:rFonts w:ascii="Arial" w:hAnsi="Arial" w:cs="Arial"/>
                <w:color w:val="000000"/>
                <w:kern w:val="0"/>
                <w:sz w:val="18"/>
                <w:szCs w:val="18"/>
                <w:lang w:bidi="ar"/>
              </w:rPr>
              <w:t xml:space="preserve"> 2.50 </w:t>
            </w:r>
          </w:p>
        </w:tc>
        <w:tc>
          <w:tcPr>
            <w:tcW w:w="984" w:type="dxa"/>
            <w:vAlign w:val="center"/>
          </w:tcPr>
          <w:p>
            <w:pPr>
              <w:widowControl/>
              <w:jc w:val="right"/>
              <w:textAlignment w:val="center"/>
              <w:rPr>
                <w:rFonts w:ascii="Arial" w:hAnsi="Arial" w:cs="Arial"/>
                <w:color w:val="000000"/>
                <w:sz w:val="18"/>
                <w:szCs w:val="18"/>
              </w:rPr>
            </w:pPr>
            <w:r>
              <w:rPr>
                <w:rFonts w:ascii="Arial" w:hAnsi="Arial" w:cs="Arial"/>
                <w:color w:val="000000"/>
                <w:kern w:val="0"/>
                <w:sz w:val="18"/>
                <w:szCs w:val="18"/>
                <w:lang w:bidi="ar"/>
              </w:rPr>
              <w:t xml:space="preserve">100.00 </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345" w:type="dxa"/>
            <w:vAlign w:val="center"/>
          </w:tcPr>
          <w:p>
            <w:pPr>
              <w:adjustRightInd w:val="0"/>
              <w:snapToGrid w:val="0"/>
              <w:rPr>
                <w:rFonts w:ascii="宋体" w:hAnsi="宋体" w:cs="宋体"/>
                <w:snapToGrid w:val="0"/>
                <w:kern w:val="0"/>
                <w:sz w:val="18"/>
                <w:szCs w:val="18"/>
              </w:rPr>
            </w:pPr>
            <w:r>
              <w:rPr>
                <w:rFonts w:hint="eastAsia" w:ascii="宋体" w:hAnsi="宋体" w:cs="宋体"/>
                <w:snapToGrid w:val="0"/>
                <w:kern w:val="0"/>
                <w:sz w:val="18"/>
                <w:szCs w:val="18"/>
              </w:rPr>
              <w:t>单项金额虽不重大但单项计提坏账准备的其他应收款</w:t>
            </w:r>
          </w:p>
        </w:tc>
        <w:tc>
          <w:tcPr>
            <w:tcW w:w="1335" w:type="dxa"/>
            <w:vAlign w:val="center"/>
          </w:tcPr>
          <w:p>
            <w:pPr>
              <w:jc w:val="right"/>
              <w:rPr>
                <w:rFonts w:ascii="Arial" w:hAnsi="Arial" w:cs="Arial"/>
                <w:color w:val="000000"/>
                <w:sz w:val="18"/>
                <w:szCs w:val="18"/>
              </w:rPr>
            </w:pPr>
          </w:p>
        </w:tc>
        <w:tc>
          <w:tcPr>
            <w:tcW w:w="1077" w:type="dxa"/>
            <w:vAlign w:val="center"/>
          </w:tcPr>
          <w:p>
            <w:pPr>
              <w:jc w:val="right"/>
              <w:rPr>
                <w:rFonts w:ascii="Arial" w:hAnsi="Arial" w:cs="Arial"/>
                <w:color w:val="000000"/>
                <w:sz w:val="18"/>
                <w:szCs w:val="18"/>
              </w:rPr>
            </w:pPr>
          </w:p>
        </w:tc>
        <w:tc>
          <w:tcPr>
            <w:tcW w:w="873" w:type="dxa"/>
            <w:vAlign w:val="center"/>
          </w:tcPr>
          <w:p>
            <w:pPr>
              <w:jc w:val="right"/>
              <w:rPr>
                <w:rFonts w:ascii="Arial" w:hAnsi="Arial" w:cs="Arial"/>
                <w:color w:val="000000"/>
                <w:sz w:val="18"/>
                <w:szCs w:val="18"/>
              </w:rPr>
            </w:pPr>
          </w:p>
        </w:tc>
        <w:tc>
          <w:tcPr>
            <w:tcW w:w="984" w:type="dxa"/>
            <w:vAlign w:val="center"/>
          </w:tcPr>
          <w:p>
            <w:pPr>
              <w:jc w:val="right"/>
              <w:rPr>
                <w:rFonts w:ascii="Arial" w:hAnsi="Arial" w:cs="Arial"/>
                <w:color w:val="000000"/>
                <w:sz w:val="18"/>
                <w:szCs w:val="18"/>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345" w:type="dxa"/>
            <w:tcBorders>
              <w:bottom w:val="single" w:color="auto" w:sz="12" w:space="0"/>
            </w:tcBorders>
            <w:vAlign w:val="center"/>
          </w:tcPr>
          <w:p>
            <w:pPr>
              <w:adjustRightInd w:val="0"/>
              <w:snapToGrid w:val="0"/>
              <w:jc w:val="center"/>
              <w:rPr>
                <w:rFonts w:ascii="宋体" w:hAnsi="宋体" w:cs="Arial"/>
                <w:snapToGrid w:val="0"/>
                <w:kern w:val="0"/>
                <w:sz w:val="18"/>
                <w:szCs w:val="18"/>
              </w:rPr>
            </w:pPr>
            <w:r>
              <w:rPr>
                <w:rFonts w:hint="eastAsia" w:ascii="宋体" w:hAnsi="宋体" w:cs="宋体"/>
                <w:snapToGrid w:val="0"/>
                <w:kern w:val="0"/>
                <w:sz w:val="18"/>
                <w:szCs w:val="18"/>
              </w:rPr>
              <w:t>合</w:t>
            </w:r>
            <w:r>
              <w:rPr>
                <w:rFonts w:ascii="宋体" w:hAnsi="宋体" w:cs="Arial"/>
                <w:snapToGrid w:val="0"/>
                <w:kern w:val="0"/>
                <w:sz w:val="18"/>
                <w:szCs w:val="18"/>
              </w:rPr>
              <w:t xml:space="preserve">   </w:t>
            </w:r>
            <w:r>
              <w:rPr>
                <w:rFonts w:hint="eastAsia" w:ascii="宋体" w:hAnsi="宋体" w:cs="宋体"/>
                <w:snapToGrid w:val="0"/>
                <w:kern w:val="0"/>
                <w:sz w:val="18"/>
                <w:szCs w:val="18"/>
              </w:rPr>
              <w:t>计</w:t>
            </w:r>
          </w:p>
        </w:tc>
        <w:tc>
          <w:tcPr>
            <w:tcW w:w="1335" w:type="dxa"/>
            <w:tcBorders>
              <w:bottom w:val="single" w:color="auto" w:sz="12" w:space="0"/>
            </w:tcBorders>
            <w:vAlign w:val="center"/>
          </w:tcPr>
          <w:p>
            <w:pPr>
              <w:widowControl/>
              <w:jc w:val="right"/>
              <w:textAlignment w:val="center"/>
              <w:rPr>
                <w:rFonts w:ascii="Arial" w:hAnsi="Arial" w:cs="Arial"/>
                <w:color w:val="000000"/>
                <w:sz w:val="18"/>
                <w:szCs w:val="18"/>
              </w:rPr>
            </w:pPr>
            <w:r>
              <w:rPr>
                <w:rFonts w:ascii="Arial" w:hAnsi="Arial" w:cs="Arial"/>
                <w:color w:val="000000"/>
                <w:kern w:val="0"/>
                <w:sz w:val="18"/>
                <w:szCs w:val="18"/>
                <w:lang w:bidi="ar"/>
              </w:rPr>
              <w:t xml:space="preserve"> 500.00 </w:t>
            </w:r>
          </w:p>
        </w:tc>
        <w:tc>
          <w:tcPr>
            <w:tcW w:w="1077" w:type="dxa"/>
            <w:tcBorders>
              <w:bottom w:val="single" w:color="auto" w:sz="12" w:space="0"/>
            </w:tcBorders>
            <w:vAlign w:val="center"/>
          </w:tcPr>
          <w:p>
            <w:pPr>
              <w:widowControl/>
              <w:jc w:val="right"/>
              <w:textAlignment w:val="center"/>
              <w:rPr>
                <w:rFonts w:ascii="Arial" w:hAnsi="Arial" w:cs="Arial"/>
                <w:color w:val="000000"/>
                <w:sz w:val="18"/>
                <w:szCs w:val="18"/>
              </w:rPr>
            </w:pPr>
            <w:r>
              <w:rPr>
                <w:rFonts w:ascii="Arial" w:hAnsi="Arial" w:cs="Arial"/>
                <w:color w:val="000000"/>
                <w:kern w:val="0"/>
                <w:sz w:val="18"/>
                <w:szCs w:val="18"/>
                <w:lang w:bidi="ar"/>
              </w:rPr>
              <w:t xml:space="preserve"> 100.00 </w:t>
            </w:r>
          </w:p>
        </w:tc>
        <w:tc>
          <w:tcPr>
            <w:tcW w:w="873" w:type="dxa"/>
            <w:tcBorders>
              <w:bottom w:val="single" w:color="auto" w:sz="12" w:space="0"/>
            </w:tcBorders>
            <w:vAlign w:val="center"/>
          </w:tcPr>
          <w:p>
            <w:pPr>
              <w:widowControl/>
              <w:jc w:val="right"/>
              <w:textAlignment w:val="center"/>
              <w:rPr>
                <w:rFonts w:ascii="Arial" w:hAnsi="Arial" w:cs="Arial"/>
                <w:color w:val="000000"/>
                <w:sz w:val="18"/>
                <w:szCs w:val="18"/>
              </w:rPr>
            </w:pPr>
            <w:r>
              <w:rPr>
                <w:rFonts w:ascii="Arial" w:hAnsi="Arial" w:cs="Arial"/>
                <w:color w:val="000000"/>
                <w:kern w:val="0"/>
                <w:sz w:val="18"/>
                <w:szCs w:val="18"/>
                <w:lang w:bidi="ar"/>
              </w:rPr>
              <w:t xml:space="preserve"> 2.50 </w:t>
            </w:r>
          </w:p>
        </w:tc>
        <w:tc>
          <w:tcPr>
            <w:tcW w:w="984" w:type="dxa"/>
            <w:tcBorders>
              <w:bottom w:val="single" w:color="auto" w:sz="12" w:space="0"/>
            </w:tcBorders>
            <w:vAlign w:val="center"/>
          </w:tcPr>
          <w:p>
            <w:pPr>
              <w:widowControl/>
              <w:jc w:val="right"/>
              <w:textAlignment w:val="center"/>
              <w:rPr>
                <w:rFonts w:ascii="Arial" w:hAnsi="Arial" w:cs="Arial"/>
                <w:color w:val="000000"/>
                <w:sz w:val="18"/>
                <w:szCs w:val="18"/>
              </w:rPr>
            </w:pPr>
            <w:r>
              <w:rPr>
                <w:rFonts w:ascii="Arial" w:hAnsi="Arial" w:cs="Arial"/>
                <w:color w:val="000000"/>
                <w:kern w:val="0"/>
                <w:sz w:val="18"/>
                <w:szCs w:val="18"/>
                <w:lang w:bidi="ar"/>
              </w:rPr>
              <w:t xml:space="preserve">100.00 </w:t>
            </w:r>
          </w:p>
        </w:tc>
      </w:tr>
    </w:tbl>
    <w:p>
      <w:pPr>
        <w:snapToGrid w:val="0"/>
        <w:spacing w:line="460" w:lineRule="atLeast"/>
        <w:ind w:firstLine="420" w:firstLineChars="200"/>
        <w:jc w:val="left"/>
        <w:rPr>
          <w:rFonts w:ascii="宋体" w:hAnsi="宋体"/>
          <w:snapToGrid w:val="0"/>
          <w:kern w:val="0"/>
        </w:rPr>
      </w:pPr>
      <w:r>
        <w:rPr>
          <w:rFonts w:hint="eastAsia" w:ascii="宋体" w:hAnsi="宋体"/>
          <w:snapToGrid w:val="0"/>
          <w:kern w:val="0"/>
        </w:rPr>
        <w:t>（1）按组合计提坏账准备的其他应收款</w:t>
      </w:r>
    </w:p>
    <w:p>
      <w:pPr>
        <w:snapToGrid w:val="0"/>
        <w:spacing w:after="156" w:afterLines="50" w:line="460" w:lineRule="atLeast"/>
        <w:ind w:firstLine="420" w:firstLineChars="200"/>
        <w:jc w:val="left"/>
        <w:rPr>
          <w:rFonts w:ascii="宋体" w:hAnsi="宋体"/>
          <w:snapToGrid w:val="0"/>
          <w:kern w:val="0"/>
        </w:rPr>
      </w:pPr>
      <w:r>
        <w:rPr>
          <w:rFonts w:hint="eastAsia" w:ascii="宋体" w:hAnsi="宋体"/>
          <w:snapToGrid w:val="0"/>
          <w:kern w:val="0"/>
        </w:rPr>
        <w:t>①采用账龄分析法计提坏账准备的其他应收款</w:t>
      </w:r>
    </w:p>
    <w:tbl>
      <w:tblPr>
        <w:tblStyle w:val="31"/>
        <w:tblW w:w="8720" w:type="dxa"/>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174"/>
        <w:gridCol w:w="1592"/>
        <w:gridCol w:w="917"/>
        <w:gridCol w:w="1381"/>
        <w:gridCol w:w="1564"/>
        <w:gridCol w:w="794"/>
        <w:gridCol w:w="1298"/>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blHeader/>
        </w:trPr>
        <w:tc>
          <w:tcPr>
            <w:tcW w:w="1174" w:type="dxa"/>
            <w:vMerge w:val="restart"/>
            <w:tcBorders>
              <w:top w:val="single" w:color="auto" w:sz="12" w:space="0"/>
            </w:tcBorders>
            <w:vAlign w:val="center"/>
          </w:tcPr>
          <w:p>
            <w:pPr>
              <w:adjustRightInd w:val="0"/>
              <w:snapToGrid w:val="0"/>
              <w:jc w:val="center"/>
              <w:rPr>
                <w:rFonts w:ascii="宋体" w:hAnsi="宋体" w:cs="Arial Narrow"/>
                <w:snapToGrid w:val="0"/>
                <w:kern w:val="0"/>
                <w:sz w:val="18"/>
                <w:szCs w:val="18"/>
              </w:rPr>
            </w:pPr>
            <w:r>
              <w:rPr>
                <w:rFonts w:hint="eastAsia" w:ascii="宋体" w:hAnsi="宋体" w:cs="宋体"/>
                <w:snapToGrid w:val="0"/>
                <w:kern w:val="0"/>
                <w:sz w:val="18"/>
                <w:szCs w:val="18"/>
              </w:rPr>
              <w:t>账</w:t>
            </w:r>
            <w:r>
              <w:rPr>
                <w:rFonts w:ascii="宋体" w:hAnsi="宋体" w:cs="宋体"/>
                <w:snapToGrid w:val="0"/>
                <w:kern w:val="0"/>
                <w:sz w:val="18"/>
                <w:szCs w:val="18"/>
              </w:rPr>
              <w:t xml:space="preserve">  </w:t>
            </w:r>
            <w:r>
              <w:rPr>
                <w:rFonts w:hint="eastAsia" w:ascii="宋体" w:hAnsi="宋体" w:cs="宋体"/>
                <w:snapToGrid w:val="0"/>
                <w:kern w:val="0"/>
                <w:sz w:val="18"/>
                <w:szCs w:val="18"/>
              </w:rPr>
              <w:t>龄</w:t>
            </w:r>
          </w:p>
        </w:tc>
        <w:tc>
          <w:tcPr>
            <w:tcW w:w="3890" w:type="dxa"/>
            <w:gridSpan w:val="3"/>
            <w:tcBorders>
              <w:top w:val="single" w:color="auto" w:sz="12" w:space="0"/>
            </w:tcBorders>
            <w:vAlign w:val="center"/>
          </w:tcPr>
          <w:p>
            <w:pPr>
              <w:adjustRightInd w:val="0"/>
              <w:snapToGrid w:val="0"/>
              <w:jc w:val="center"/>
              <w:rPr>
                <w:rFonts w:ascii="宋体" w:hAnsi="宋体" w:cs="Arial Narrow"/>
                <w:snapToGrid w:val="0"/>
                <w:kern w:val="0"/>
                <w:sz w:val="18"/>
                <w:szCs w:val="18"/>
              </w:rPr>
            </w:pPr>
            <w:r>
              <w:rPr>
                <w:rFonts w:hint="eastAsia" w:ascii="宋体" w:hAnsi="宋体" w:cs="Arial Narrow"/>
                <w:snapToGrid w:val="0"/>
                <w:kern w:val="0"/>
                <w:sz w:val="18"/>
                <w:szCs w:val="18"/>
              </w:rPr>
              <w:t>期末数</w:t>
            </w:r>
          </w:p>
        </w:tc>
        <w:tc>
          <w:tcPr>
            <w:tcW w:w="3656" w:type="dxa"/>
            <w:gridSpan w:val="3"/>
            <w:tcBorders>
              <w:top w:val="single" w:color="auto" w:sz="12" w:space="0"/>
            </w:tcBorders>
            <w:vAlign w:val="center"/>
          </w:tcPr>
          <w:p>
            <w:pPr>
              <w:adjustRightInd w:val="0"/>
              <w:snapToGrid w:val="0"/>
              <w:jc w:val="center"/>
              <w:rPr>
                <w:rFonts w:ascii="宋体" w:hAnsi="宋体" w:cs="Arial Narrow"/>
                <w:snapToGrid w:val="0"/>
                <w:kern w:val="0"/>
                <w:sz w:val="18"/>
                <w:szCs w:val="18"/>
              </w:rPr>
            </w:pPr>
            <w:r>
              <w:rPr>
                <w:rFonts w:hint="eastAsia" w:ascii="宋体" w:hAnsi="宋体" w:cs="Arial Narrow"/>
                <w:snapToGrid w:val="0"/>
                <w:kern w:val="0"/>
                <w:sz w:val="18"/>
                <w:szCs w:val="18"/>
              </w:rPr>
              <w:t>期初数</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blHeader/>
        </w:trPr>
        <w:tc>
          <w:tcPr>
            <w:tcW w:w="1174" w:type="dxa"/>
            <w:vMerge w:val="continue"/>
            <w:vAlign w:val="center"/>
          </w:tcPr>
          <w:p>
            <w:pPr>
              <w:adjustRightInd w:val="0"/>
              <w:snapToGrid w:val="0"/>
              <w:jc w:val="center"/>
              <w:rPr>
                <w:rFonts w:ascii="宋体" w:hAnsi="宋体" w:cs="宋体"/>
                <w:snapToGrid w:val="0"/>
                <w:kern w:val="0"/>
                <w:sz w:val="18"/>
                <w:szCs w:val="18"/>
              </w:rPr>
            </w:pPr>
          </w:p>
        </w:tc>
        <w:tc>
          <w:tcPr>
            <w:tcW w:w="1592" w:type="dxa"/>
            <w:vAlign w:val="center"/>
          </w:tcPr>
          <w:p>
            <w:pPr>
              <w:adjustRightInd w:val="0"/>
              <w:snapToGrid w:val="0"/>
              <w:jc w:val="center"/>
              <w:rPr>
                <w:rFonts w:ascii="宋体" w:hAnsi="宋体" w:cs="Arial Narrow"/>
                <w:snapToGrid w:val="0"/>
                <w:kern w:val="0"/>
                <w:sz w:val="18"/>
                <w:szCs w:val="18"/>
              </w:rPr>
            </w:pPr>
            <w:r>
              <w:rPr>
                <w:rFonts w:hint="eastAsia" w:ascii="宋体" w:hAnsi="宋体" w:cs="宋体"/>
                <w:snapToGrid w:val="0"/>
                <w:kern w:val="0"/>
                <w:sz w:val="18"/>
                <w:szCs w:val="18"/>
              </w:rPr>
              <w:t>账面余额</w:t>
            </w:r>
          </w:p>
        </w:tc>
        <w:tc>
          <w:tcPr>
            <w:tcW w:w="917" w:type="dxa"/>
            <w:vAlign w:val="center"/>
          </w:tcPr>
          <w:p>
            <w:pPr>
              <w:adjustRightInd w:val="0"/>
              <w:snapToGrid w:val="0"/>
              <w:jc w:val="center"/>
              <w:rPr>
                <w:rFonts w:ascii="宋体" w:hAnsi="宋体" w:cs="宋体"/>
                <w:snapToGrid w:val="0"/>
                <w:kern w:val="0"/>
                <w:sz w:val="18"/>
                <w:szCs w:val="18"/>
              </w:rPr>
            </w:pPr>
            <w:r>
              <w:rPr>
                <w:rFonts w:hint="eastAsia" w:ascii="宋体" w:hAnsi="宋体" w:cs="宋体"/>
                <w:snapToGrid w:val="0"/>
                <w:kern w:val="0"/>
                <w:sz w:val="18"/>
                <w:szCs w:val="18"/>
              </w:rPr>
              <w:t>计提比例</w:t>
            </w:r>
            <w:r>
              <w:rPr>
                <w:rFonts w:ascii="宋体" w:hAnsi="宋体" w:cs="Arial Narrow"/>
                <w:snapToGrid w:val="0"/>
                <w:kern w:val="0"/>
                <w:sz w:val="18"/>
                <w:szCs w:val="18"/>
              </w:rPr>
              <w:t>(%)</w:t>
            </w:r>
          </w:p>
        </w:tc>
        <w:tc>
          <w:tcPr>
            <w:tcW w:w="1381" w:type="dxa"/>
            <w:vAlign w:val="center"/>
          </w:tcPr>
          <w:p>
            <w:pPr>
              <w:adjustRightInd w:val="0"/>
              <w:snapToGrid w:val="0"/>
              <w:jc w:val="center"/>
              <w:rPr>
                <w:rFonts w:ascii="宋体" w:hAnsi="宋体" w:cs="宋体"/>
                <w:snapToGrid w:val="0"/>
                <w:kern w:val="0"/>
                <w:sz w:val="18"/>
                <w:szCs w:val="18"/>
              </w:rPr>
            </w:pPr>
            <w:r>
              <w:rPr>
                <w:rFonts w:hint="eastAsia" w:ascii="宋体" w:hAnsi="宋体" w:cs="宋体"/>
                <w:snapToGrid w:val="0"/>
                <w:kern w:val="0"/>
                <w:sz w:val="18"/>
                <w:szCs w:val="18"/>
              </w:rPr>
              <w:t>坏账准备</w:t>
            </w:r>
          </w:p>
        </w:tc>
        <w:tc>
          <w:tcPr>
            <w:tcW w:w="1564" w:type="dxa"/>
            <w:vAlign w:val="center"/>
          </w:tcPr>
          <w:p>
            <w:pPr>
              <w:adjustRightInd w:val="0"/>
              <w:snapToGrid w:val="0"/>
              <w:jc w:val="center"/>
              <w:rPr>
                <w:rFonts w:ascii="宋体" w:hAnsi="宋体" w:cs="Arial Narrow"/>
                <w:snapToGrid w:val="0"/>
                <w:kern w:val="0"/>
                <w:sz w:val="18"/>
                <w:szCs w:val="18"/>
              </w:rPr>
            </w:pPr>
            <w:r>
              <w:rPr>
                <w:rFonts w:hint="eastAsia" w:ascii="宋体" w:hAnsi="宋体" w:cs="宋体"/>
                <w:snapToGrid w:val="0"/>
                <w:kern w:val="0"/>
                <w:sz w:val="18"/>
                <w:szCs w:val="18"/>
              </w:rPr>
              <w:t>账面余额</w:t>
            </w:r>
          </w:p>
        </w:tc>
        <w:tc>
          <w:tcPr>
            <w:tcW w:w="794" w:type="dxa"/>
            <w:vAlign w:val="center"/>
          </w:tcPr>
          <w:p>
            <w:pPr>
              <w:adjustRightInd w:val="0"/>
              <w:snapToGrid w:val="0"/>
              <w:jc w:val="center"/>
              <w:rPr>
                <w:rFonts w:ascii="宋体" w:hAnsi="宋体" w:cs="宋体"/>
                <w:snapToGrid w:val="0"/>
                <w:kern w:val="0"/>
                <w:sz w:val="18"/>
                <w:szCs w:val="18"/>
              </w:rPr>
            </w:pPr>
            <w:r>
              <w:rPr>
                <w:rFonts w:hint="eastAsia" w:ascii="宋体" w:hAnsi="宋体" w:cs="宋体"/>
                <w:snapToGrid w:val="0"/>
                <w:kern w:val="0"/>
                <w:sz w:val="18"/>
                <w:szCs w:val="18"/>
              </w:rPr>
              <w:t>计提比例</w:t>
            </w:r>
            <w:r>
              <w:rPr>
                <w:rFonts w:ascii="宋体" w:hAnsi="宋体" w:cs="Arial Narrow"/>
                <w:snapToGrid w:val="0"/>
                <w:kern w:val="0"/>
                <w:sz w:val="18"/>
                <w:szCs w:val="18"/>
              </w:rPr>
              <w:t>(%)</w:t>
            </w:r>
          </w:p>
        </w:tc>
        <w:tc>
          <w:tcPr>
            <w:tcW w:w="1298" w:type="dxa"/>
            <w:vAlign w:val="center"/>
          </w:tcPr>
          <w:p>
            <w:pPr>
              <w:adjustRightInd w:val="0"/>
              <w:snapToGrid w:val="0"/>
              <w:jc w:val="center"/>
              <w:rPr>
                <w:rFonts w:ascii="宋体" w:hAnsi="宋体" w:cs="宋体"/>
                <w:snapToGrid w:val="0"/>
                <w:kern w:val="0"/>
                <w:sz w:val="18"/>
                <w:szCs w:val="18"/>
              </w:rPr>
            </w:pPr>
            <w:r>
              <w:rPr>
                <w:rFonts w:hint="eastAsia" w:ascii="宋体" w:hAnsi="宋体" w:cs="宋体"/>
                <w:snapToGrid w:val="0"/>
                <w:kern w:val="0"/>
                <w:sz w:val="18"/>
                <w:szCs w:val="18"/>
              </w:rPr>
              <w:t>坏账准备</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174" w:type="dxa"/>
            <w:vAlign w:val="center"/>
          </w:tcPr>
          <w:p>
            <w:pPr>
              <w:adjustRightInd w:val="0"/>
              <w:snapToGrid w:val="0"/>
              <w:rPr>
                <w:rFonts w:ascii="宋体" w:hAnsi="宋体" w:cs="Arial Narrow"/>
                <w:snapToGrid w:val="0"/>
                <w:kern w:val="0"/>
                <w:sz w:val="18"/>
                <w:szCs w:val="18"/>
              </w:rPr>
            </w:pPr>
            <w:r>
              <w:rPr>
                <w:rFonts w:ascii="宋体" w:hAnsi="宋体" w:cs="Arial Narrow"/>
                <w:snapToGrid w:val="0"/>
                <w:kern w:val="0"/>
                <w:sz w:val="18"/>
                <w:szCs w:val="18"/>
              </w:rPr>
              <w:t>1</w:t>
            </w:r>
            <w:r>
              <w:rPr>
                <w:rFonts w:hint="eastAsia" w:ascii="宋体" w:hAnsi="宋体" w:cs="宋体"/>
                <w:snapToGrid w:val="0"/>
                <w:kern w:val="0"/>
                <w:sz w:val="18"/>
                <w:szCs w:val="18"/>
              </w:rPr>
              <w:t>年以内</w:t>
            </w:r>
          </w:p>
        </w:tc>
        <w:tc>
          <w:tcPr>
            <w:tcW w:w="1592" w:type="dxa"/>
            <w:vAlign w:val="center"/>
          </w:tcPr>
          <w:p>
            <w:pPr>
              <w:widowControl/>
              <w:jc w:val="right"/>
              <w:textAlignment w:val="center"/>
              <w:rPr>
                <w:rFonts w:ascii="Arial" w:hAnsi="Arial" w:cs="Arial"/>
                <w:color w:val="000000"/>
                <w:sz w:val="18"/>
                <w:szCs w:val="18"/>
              </w:rPr>
            </w:pPr>
            <w:r>
              <w:rPr>
                <w:rFonts w:ascii="Arial" w:hAnsi="Arial" w:cs="Arial"/>
                <w:color w:val="000000"/>
                <w:kern w:val="0"/>
                <w:sz w:val="18"/>
                <w:szCs w:val="18"/>
                <w:lang w:bidi="ar"/>
              </w:rPr>
              <w:t xml:space="preserve"> 54,912.35 </w:t>
            </w:r>
          </w:p>
        </w:tc>
        <w:tc>
          <w:tcPr>
            <w:tcW w:w="917" w:type="dxa"/>
            <w:vAlign w:val="center"/>
          </w:tcPr>
          <w:p>
            <w:pPr>
              <w:widowControl/>
              <w:jc w:val="right"/>
              <w:textAlignment w:val="center"/>
              <w:rPr>
                <w:rFonts w:ascii="Arial" w:hAnsi="Arial" w:cs="Arial"/>
                <w:color w:val="000000"/>
                <w:sz w:val="18"/>
                <w:szCs w:val="18"/>
              </w:rPr>
            </w:pPr>
            <w:r>
              <w:rPr>
                <w:rFonts w:ascii="Arial" w:hAnsi="Arial" w:cs="Arial"/>
                <w:color w:val="000000"/>
                <w:kern w:val="0"/>
                <w:sz w:val="18"/>
                <w:szCs w:val="18"/>
                <w:lang w:bidi="ar"/>
              </w:rPr>
              <w:t xml:space="preserve">0.50 </w:t>
            </w:r>
          </w:p>
        </w:tc>
        <w:tc>
          <w:tcPr>
            <w:tcW w:w="1381" w:type="dxa"/>
            <w:vAlign w:val="center"/>
          </w:tcPr>
          <w:p>
            <w:pPr>
              <w:widowControl/>
              <w:jc w:val="right"/>
              <w:textAlignment w:val="center"/>
              <w:rPr>
                <w:rFonts w:ascii="Arial" w:hAnsi="Arial" w:cs="Arial"/>
                <w:color w:val="000000"/>
                <w:sz w:val="18"/>
                <w:szCs w:val="18"/>
              </w:rPr>
            </w:pPr>
            <w:r>
              <w:rPr>
                <w:rFonts w:ascii="Arial" w:hAnsi="Arial" w:cs="Arial"/>
                <w:color w:val="000000"/>
                <w:kern w:val="0"/>
                <w:sz w:val="18"/>
                <w:szCs w:val="18"/>
                <w:lang w:bidi="ar"/>
              </w:rPr>
              <w:t xml:space="preserve"> 274.56 </w:t>
            </w:r>
          </w:p>
        </w:tc>
        <w:tc>
          <w:tcPr>
            <w:tcW w:w="1564" w:type="dxa"/>
            <w:vAlign w:val="center"/>
          </w:tcPr>
          <w:p>
            <w:pPr>
              <w:widowControl/>
              <w:jc w:val="right"/>
              <w:textAlignment w:val="center"/>
              <w:rPr>
                <w:rFonts w:ascii="Arial" w:hAnsi="Arial" w:cs="Arial"/>
                <w:color w:val="000000"/>
                <w:sz w:val="18"/>
                <w:szCs w:val="18"/>
              </w:rPr>
            </w:pPr>
            <w:r>
              <w:rPr>
                <w:rFonts w:ascii="Arial" w:hAnsi="Arial" w:cs="Arial"/>
                <w:color w:val="000000"/>
                <w:kern w:val="0"/>
                <w:sz w:val="18"/>
                <w:szCs w:val="18"/>
                <w:lang w:bidi="ar"/>
              </w:rPr>
              <w:t xml:space="preserve"> 500.00 </w:t>
            </w:r>
          </w:p>
        </w:tc>
        <w:tc>
          <w:tcPr>
            <w:tcW w:w="794" w:type="dxa"/>
            <w:vAlign w:val="center"/>
          </w:tcPr>
          <w:p>
            <w:pPr>
              <w:widowControl/>
              <w:jc w:val="right"/>
              <w:textAlignment w:val="center"/>
              <w:rPr>
                <w:rFonts w:ascii="Arial" w:hAnsi="Arial" w:cs="Arial"/>
                <w:color w:val="000000"/>
                <w:sz w:val="18"/>
                <w:szCs w:val="18"/>
              </w:rPr>
            </w:pPr>
            <w:r>
              <w:rPr>
                <w:rFonts w:ascii="Arial" w:hAnsi="Arial" w:cs="Arial"/>
                <w:color w:val="000000"/>
                <w:kern w:val="0"/>
                <w:sz w:val="18"/>
                <w:szCs w:val="18"/>
                <w:lang w:bidi="ar"/>
              </w:rPr>
              <w:t>0.50</w:t>
            </w:r>
          </w:p>
        </w:tc>
        <w:tc>
          <w:tcPr>
            <w:tcW w:w="1298" w:type="dxa"/>
            <w:vAlign w:val="center"/>
          </w:tcPr>
          <w:p>
            <w:pPr>
              <w:widowControl/>
              <w:jc w:val="right"/>
              <w:textAlignment w:val="center"/>
              <w:rPr>
                <w:rFonts w:ascii="Arial" w:hAnsi="Arial" w:cs="Arial"/>
                <w:color w:val="000000"/>
                <w:sz w:val="18"/>
                <w:szCs w:val="18"/>
              </w:rPr>
            </w:pPr>
            <w:r>
              <w:rPr>
                <w:rFonts w:ascii="Arial" w:hAnsi="Arial" w:cs="Arial"/>
                <w:color w:val="000000"/>
                <w:kern w:val="0"/>
                <w:sz w:val="18"/>
                <w:szCs w:val="18"/>
                <w:lang w:bidi="ar"/>
              </w:rPr>
              <w:t xml:space="preserve"> 2.50 </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174" w:type="dxa"/>
            <w:vAlign w:val="center"/>
          </w:tcPr>
          <w:p>
            <w:pPr>
              <w:adjustRightInd w:val="0"/>
              <w:snapToGrid w:val="0"/>
              <w:rPr>
                <w:rFonts w:ascii="宋体" w:hAnsi="宋体" w:cs="Arial Narrow"/>
                <w:snapToGrid w:val="0"/>
                <w:kern w:val="0"/>
                <w:sz w:val="18"/>
                <w:szCs w:val="18"/>
              </w:rPr>
            </w:pPr>
            <w:r>
              <w:rPr>
                <w:rFonts w:ascii="宋体" w:hAnsi="宋体" w:cs="Arial Narrow"/>
                <w:snapToGrid w:val="0"/>
                <w:kern w:val="0"/>
                <w:sz w:val="18"/>
                <w:szCs w:val="18"/>
              </w:rPr>
              <w:t>1</w:t>
            </w:r>
            <w:r>
              <w:rPr>
                <w:rFonts w:hint="eastAsia" w:ascii="宋体" w:hAnsi="宋体" w:cs="宋体"/>
                <w:snapToGrid w:val="0"/>
                <w:kern w:val="0"/>
                <w:sz w:val="18"/>
                <w:szCs w:val="18"/>
              </w:rPr>
              <w:t>至</w:t>
            </w:r>
            <w:r>
              <w:rPr>
                <w:rFonts w:ascii="宋体" w:hAnsi="宋体" w:cs="Arial Narrow"/>
                <w:snapToGrid w:val="0"/>
                <w:kern w:val="0"/>
                <w:sz w:val="18"/>
                <w:szCs w:val="18"/>
              </w:rPr>
              <w:t>2</w:t>
            </w:r>
            <w:r>
              <w:rPr>
                <w:rFonts w:hint="eastAsia" w:ascii="宋体" w:hAnsi="宋体" w:cs="宋体"/>
                <w:snapToGrid w:val="0"/>
                <w:kern w:val="0"/>
                <w:sz w:val="18"/>
                <w:szCs w:val="18"/>
              </w:rPr>
              <w:t>年</w:t>
            </w:r>
          </w:p>
        </w:tc>
        <w:tc>
          <w:tcPr>
            <w:tcW w:w="1592" w:type="dxa"/>
            <w:vAlign w:val="center"/>
          </w:tcPr>
          <w:p>
            <w:pPr>
              <w:jc w:val="right"/>
              <w:rPr>
                <w:rFonts w:ascii="Arial" w:hAnsi="Arial" w:cs="Arial"/>
                <w:color w:val="000000"/>
                <w:sz w:val="18"/>
                <w:szCs w:val="18"/>
              </w:rPr>
            </w:pPr>
          </w:p>
        </w:tc>
        <w:tc>
          <w:tcPr>
            <w:tcW w:w="917" w:type="dxa"/>
            <w:vAlign w:val="center"/>
          </w:tcPr>
          <w:p>
            <w:pPr>
              <w:jc w:val="right"/>
              <w:rPr>
                <w:rFonts w:ascii="Arial" w:hAnsi="Arial" w:cs="Arial"/>
                <w:color w:val="000000"/>
                <w:sz w:val="18"/>
                <w:szCs w:val="18"/>
              </w:rPr>
            </w:pPr>
          </w:p>
        </w:tc>
        <w:tc>
          <w:tcPr>
            <w:tcW w:w="1381" w:type="dxa"/>
            <w:vAlign w:val="center"/>
          </w:tcPr>
          <w:p>
            <w:pPr>
              <w:jc w:val="right"/>
              <w:rPr>
                <w:rFonts w:ascii="Arial" w:hAnsi="Arial" w:cs="Arial"/>
                <w:color w:val="000000"/>
                <w:sz w:val="18"/>
                <w:szCs w:val="18"/>
              </w:rPr>
            </w:pPr>
          </w:p>
        </w:tc>
        <w:tc>
          <w:tcPr>
            <w:tcW w:w="1564" w:type="dxa"/>
            <w:vAlign w:val="center"/>
          </w:tcPr>
          <w:p>
            <w:pPr>
              <w:jc w:val="right"/>
              <w:rPr>
                <w:rFonts w:ascii="Arial" w:hAnsi="Arial" w:cs="Arial"/>
                <w:color w:val="000000"/>
                <w:sz w:val="18"/>
                <w:szCs w:val="18"/>
              </w:rPr>
            </w:pPr>
          </w:p>
        </w:tc>
        <w:tc>
          <w:tcPr>
            <w:tcW w:w="794" w:type="dxa"/>
            <w:vAlign w:val="center"/>
          </w:tcPr>
          <w:p>
            <w:pPr>
              <w:jc w:val="right"/>
              <w:rPr>
                <w:rFonts w:ascii="Arial" w:hAnsi="Arial" w:cs="Arial"/>
                <w:color w:val="000000"/>
                <w:sz w:val="18"/>
                <w:szCs w:val="18"/>
              </w:rPr>
            </w:pPr>
          </w:p>
        </w:tc>
        <w:tc>
          <w:tcPr>
            <w:tcW w:w="1298" w:type="dxa"/>
            <w:vAlign w:val="center"/>
          </w:tcPr>
          <w:p>
            <w:pPr>
              <w:jc w:val="right"/>
              <w:rPr>
                <w:rFonts w:ascii="Arial" w:hAnsi="Arial" w:cs="Arial"/>
                <w:color w:val="000000"/>
                <w:sz w:val="18"/>
                <w:szCs w:val="18"/>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174" w:type="dxa"/>
            <w:vAlign w:val="center"/>
          </w:tcPr>
          <w:p>
            <w:pPr>
              <w:adjustRightInd w:val="0"/>
              <w:snapToGrid w:val="0"/>
              <w:rPr>
                <w:rFonts w:ascii="宋体" w:hAnsi="宋体" w:cs="Arial Narrow"/>
                <w:snapToGrid w:val="0"/>
                <w:kern w:val="0"/>
                <w:sz w:val="18"/>
                <w:szCs w:val="18"/>
              </w:rPr>
            </w:pPr>
            <w:r>
              <w:rPr>
                <w:rFonts w:ascii="宋体" w:hAnsi="宋体" w:cs="Arial Narrow"/>
                <w:snapToGrid w:val="0"/>
                <w:kern w:val="0"/>
                <w:sz w:val="18"/>
                <w:szCs w:val="18"/>
              </w:rPr>
              <w:t>2</w:t>
            </w:r>
            <w:r>
              <w:rPr>
                <w:rFonts w:hint="eastAsia" w:ascii="宋体" w:hAnsi="宋体" w:cs="宋体"/>
                <w:snapToGrid w:val="0"/>
                <w:kern w:val="0"/>
                <w:sz w:val="18"/>
                <w:szCs w:val="18"/>
              </w:rPr>
              <w:t>至</w:t>
            </w:r>
            <w:r>
              <w:rPr>
                <w:rFonts w:ascii="宋体" w:hAnsi="宋体" w:cs="Arial Narrow"/>
                <w:snapToGrid w:val="0"/>
                <w:kern w:val="0"/>
                <w:sz w:val="18"/>
                <w:szCs w:val="18"/>
              </w:rPr>
              <w:t>3</w:t>
            </w:r>
            <w:r>
              <w:rPr>
                <w:rFonts w:hint="eastAsia" w:ascii="宋体" w:hAnsi="宋体" w:cs="宋体"/>
                <w:snapToGrid w:val="0"/>
                <w:kern w:val="0"/>
                <w:sz w:val="18"/>
                <w:szCs w:val="18"/>
              </w:rPr>
              <w:t>年</w:t>
            </w:r>
          </w:p>
        </w:tc>
        <w:tc>
          <w:tcPr>
            <w:tcW w:w="1592" w:type="dxa"/>
            <w:vAlign w:val="center"/>
          </w:tcPr>
          <w:p>
            <w:pPr>
              <w:jc w:val="right"/>
              <w:rPr>
                <w:rFonts w:ascii="Arial" w:hAnsi="Arial" w:cs="Arial"/>
                <w:color w:val="000000"/>
                <w:sz w:val="18"/>
                <w:szCs w:val="18"/>
              </w:rPr>
            </w:pPr>
          </w:p>
        </w:tc>
        <w:tc>
          <w:tcPr>
            <w:tcW w:w="917" w:type="dxa"/>
            <w:vAlign w:val="center"/>
          </w:tcPr>
          <w:p>
            <w:pPr>
              <w:jc w:val="right"/>
              <w:rPr>
                <w:rFonts w:ascii="Arial" w:hAnsi="Arial" w:cs="Arial"/>
                <w:color w:val="000000"/>
                <w:sz w:val="18"/>
                <w:szCs w:val="18"/>
              </w:rPr>
            </w:pPr>
          </w:p>
        </w:tc>
        <w:tc>
          <w:tcPr>
            <w:tcW w:w="1381" w:type="dxa"/>
            <w:vAlign w:val="center"/>
          </w:tcPr>
          <w:p>
            <w:pPr>
              <w:jc w:val="right"/>
              <w:rPr>
                <w:rFonts w:ascii="Arial" w:hAnsi="Arial" w:cs="Arial"/>
                <w:color w:val="000000"/>
                <w:sz w:val="18"/>
                <w:szCs w:val="18"/>
              </w:rPr>
            </w:pPr>
          </w:p>
        </w:tc>
        <w:tc>
          <w:tcPr>
            <w:tcW w:w="1564" w:type="dxa"/>
            <w:vAlign w:val="center"/>
          </w:tcPr>
          <w:p>
            <w:pPr>
              <w:jc w:val="right"/>
              <w:rPr>
                <w:rFonts w:ascii="Arial" w:hAnsi="Arial" w:cs="Arial"/>
                <w:color w:val="000000"/>
                <w:sz w:val="18"/>
                <w:szCs w:val="18"/>
              </w:rPr>
            </w:pPr>
          </w:p>
        </w:tc>
        <w:tc>
          <w:tcPr>
            <w:tcW w:w="794" w:type="dxa"/>
            <w:vAlign w:val="center"/>
          </w:tcPr>
          <w:p>
            <w:pPr>
              <w:jc w:val="right"/>
              <w:rPr>
                <w:rFonts w:ascii="Arial" w:hAnsi="Arial" w:cs="Arial"/>
                <w:color w:val="000000"/>
                <w:sz w:val="18"/>
                <w:szCs w:val="18"/>
              </w:rPr>
            </w:pPr>
          </w:p>
        </w:tc>
        <w:tc>
          <w:tcPr>
            <w:tcW w:w="1298" w:type="dxa"/>
            <w:vAlign w:val="center"/>
          </w:tcPr>
          <w:p>
            <w:pPr>
              <w:jc w:val="right"/>
              <w:rPr>
                <w:rFonts w:ascii="Arial" w:hAnsi="Arial" w:cs="Arial"/>
                <w:color w:val="000000"/>
                <w:sz w:val="18"/>
                <w:szCs w:val="18"/>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174" w:type="dxa"/>
            <w:vAlign w:val="center"/>
          </w:tcPr>
          <w:p>
            <w:pPr>
              <w:adjustRightInd w:val="0"/>
              <w:snapToGrid w:val="0"/>
              <w:rPr>
                <w:rFonts w:ascii="宋体" w:hAnsi="宋体" w:cs="Arial Narrow"/>
                <w:snapToGrid w:val="0"/>
                <w:kern w:val="0"/>
                <w:sz w:val="18"/>
                <w:szCs w:val="18"/>
              </w:rPr>
            </w:pPr>
            <w:r>
              <w:rPr>
                <w:rFonts w:ascii="宋体" w:hAnsi="宋体" w:cs="Arial Narrow"/>
                <w:snapToGrid w:val="0"/>
                <w:kern w:val="0"/>
                <w:sz w:val="18"/>
                <w:szCs w:val="18"/>
              </w:rPr>
              <w:t>3</w:t>
            </w:r>
            <w:r>
              <w:rPr>
                <w:rFonts w:hint="eastAsia" w:ascii="宋体" w:hAnsi="宋体" w:cs="宋体"/>
                <w:snapToGrid w:val="0"/>
                <w:kern w:val="0"/>
                <w:sz w:val="18"/>
                <w:szCs w:val="18"/>
              </w:rPr>
              <w:t>至4年</w:t>
            </w:r>
          </w:p>
        </w:tc>
        <w:tc>
          <w:tcPr>
            <w:tcW w:w="1592" w:type="dxa"/>
            <w:vAlign w:val="center"/>
          </w:tcPr>
          <w:p>
            <w:pPr>
              <w:jc w:val="right"/>
              <w:rPr>
                <w:rFonts w:ascii="Arial" w:hAnsi="Arial" w:cs="Arial"/>
                <w:color w:val="000000"/>
                <w:sz w:val="18"/>
                <w:szCs w:val="18"/>
              </w:rPr>
            </w:pPr>
          </w:p>
        </w:tc>
        <w:tc>
          <w:tcPr>
            <w:tcW w:w="917" w:type="dxa"/>
            <w:vAlign w:val="center"/>
          </w:tcPr>
          <w:p>
            <w:pPr>
              <w:jc w:val="right"/>
              <w:rPr>
                <w:rFonts w:ascii="Arial" w:hAnsi="Arial" w:cs="Arial"/>
                <w:color w:val="000000"/>
                <w:sz w:val="18"/>
                <w:szCs w:val="18"/>
              </w:rPr>
            </w:pPr>
          </w:p>
        </w:tc>
        <w:tc>
          <w:tcPr>
            <w:tcW w:w="1381" w:type="dxa"/>
            <w:vAlign w:val="center"/>
          </w:tcPr>
          <w:p>
            <w:pPr>
              <w:jc w:val="right"/>
              <w:rPr>
                <w:rFonts w:ascii="Arial" w:hAnsi="Arial" w:cs="Arial"/>
                <w:color w:val="000000"/>
                <w:sz w:val="18"/>
                <w:szCs w:val="18"/>
              </w:rPr>
            </w:pPr>
          </w:p>
        </w:tc>
        <w:tc>
          <w:tcPr>
            <w:tcW w:w="1564" w:type="dxa"/>
            <w:vAlign w:val="center"/>
          </w:tcPr>
          <w:p>
            <w:pPr>
              <w:jc w:val="right"/>
              <w:rPr>
                <w:rFonts w:ascii="Arial" w:hAnsi="Arial" w:cs="Arial"/>
                <w:color w:val="000000"/>
                <w:sz w:val="18"/>
                <w:szCs w:val="18"/>
              </w:rPr>
            </w:pPr>
          </w:p>
        </w:tc>
        <w:tc>
          <w:tcPr>
            <w:tcW w:w="794" w:type="dxa"/>
            <w:vAlign w:val="center"/>
          </w:tcPr>
          <w:p>
            <w:pPr>
              <w:jc w:val="right"/>
              <w:rPr>
                <w:rFonts w:ascii="Arial" w:hAnsi="Arial" w:cs="Arial"/>
                <w:color w:val="000000"/>
                <w:sz w:val="18"/>
                <w:szCs w:val="18"/>
              </w:rPr>
            </w:pPr>
          </w:p>
        </w:tc>
        <w:tc>
          <w:tcPr>
            <w:tcW w:w="1298" w:type="dxa"/>
            <w:vAlign w:val="center"/>
          </w:tcPr>
          <w:p>
            <w:pPr>
              <w:jc w:val="right"/>
              <w:rPr>
                <w:rFonts w:ascii="Arial" w:hAnsi="Arial" w:cs="Arial"/>
                <w:color w:val="000000"/>
                <w:sz w:val="18"/>
                <w:szCs w:val="18"/>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174" w:type="dxa"/>
            <w:vAlign w:val="center"/>
          </w:tcPr>
          <w:p>
            <w:pPr>
              <w:adjustRightInd w:val="0"/>
              <w:snapToGrid w:val="0"/>
              <w:rPr>
                <w:rFonts w:ascii="宋体" w:hAnsi="宋体" w:cs="Arial Narrow"/>
                <w:snapToGrid w:val="0"/>
                <w:kern w:val="0"/>
                <w:sz w:val="18"/>
                <w:szCs w:val="18"/>
              </w:rPr>
            </w:pPr>
            <w:r>
              <w:rPr>
                <w:rFonts w:hint="eastAsia" w:ascii="宋体" w:hAnsi="宋体" w:cs="Arial Narrow"/>
                <w:snapToGrid w:val="0"/>
                <w:kern w:val="0"/>
                <w:sz w:val="18"/>
                <w:szCs w:val="18"/>
              </w:rPr>
              <w:t>4-5年</w:t>
            </w:r>
          </w:p>
        </w:tc>
        <w:tc>
          <w:tcPr>
            <w:tcW w:w="1592" w:type="dxa"/>
            <w:vAlign w:val="center"/>
          </w:tcPr>
          <w:p>
            <w:pPr>
              <w:jc w:val="right"/>
              <w:rPr>
                <w:rFonts w:ascii="Arial" w:hAnsi="Arial" w:cs="Arial"/>
                <w:color w:val="000000"/>
                <w:sz w:val="18"/>
                <w:szCs w:val="18"/>
              </w:rPr>
            </w:pPr>
          </w:p>
        </w:tc>
        <w:tc>
          <w:tcPr>
            <w:tcW w:w="917" w:type="dxa"/>
            <w:vAlign w:val="center"/>
          </w:tcPr>
          <w:p>
            <w:pPr>
              <w:jc w:val="right"/>
              <w:rPr>
                <w:rFonts w:ascii="Arial" w:hAnsi="Arial" w:cs="Arial"/>
                <w:color w:val="000000"/>
                <w:sz w:val="18"/>
                <w:szCs w:val="18"/>
              </w:rPr>
            </w:pPr>
          </w:p>
        </w:tc>
        <w:tc>
          <w:tcPr>
            <w:tcW w:w="1381" w:type="dxa"/>
            <w:vAlign w:val="center"/>
          </w:tcPr>
          <w:p>
            <w:pPr>
              <w:jc w:val="right"/>
              <w:rPr>
                <w:rFonts w:ascii="Arial" w:hAnsi="Arial" w:cs="Arial"/>
                <w:color w:val="000000"/>
                <w:sz w:val="18"/>
                <w:szCs w:val="18"/>
              </w:rPr>
            </w:pPr>
          </w:p>
        </w:tc>
        <w:tc>
          <w:tcPr>
            <w:tcW w:w="1564" w:type="dxa"/>
            <w:vAlign w:val="center"/>
          </w:tcPr>
          <w:p>
            <w:pPr>
              <w:jc w:val="right"/>
              <w:rPr>
                <w:rFonts w:ascii="Arial" w:hAnsi="Arial" w:cs="Arial"/>
                <w:color w:val="000000"/>
                <w:sz w:val="18"/>
                <w:szCs w:val="18"/>
              </w:rPr>
            </w:pPr>
          </w:p>
        </w:tc>
        <w:tc>
          <w:tcPr>
            <w:tcW w:w="794" w:type="dxa"/>
            <w:vAlign w:val="center"/>
          </w:tcPr>
          <w:p>
            <w:pPr>
              <w:jc w:val="right"/>
              <w:rPr>
                <w:rFonts w:ascii="Arial" w:hAnsi="Arial" w:cs="Arial"/>
                <w:color w:val="000000"/>
                <w:sz w:val="18"/>
                <w:szCs w:val="18"/>
              </w:rPr>
            </w:pPr>
          </w:p>
        </w:tc>
        <w:tc>
          <w:tcPr>
            <w:tcW w:w="1298" w:type="dxa"/>
            <w:vAlign w:val="center"/>
          </w:tcPr>
          <w:p>
            <w:pPr>
              <w:jc w:val="right"/>
              <w:rPr>
                <w:rFonts w:ascii="Arial" w:hAnsi="Arial" w:cs="Arial"/>
                <w:color w:val="000000"/>
                <w:sz w:val="18"/>
                <w:szCs w:val="18"/>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174" w:type="dxa"/>
            <w:tcBorders>
              <w:bottom w:val="single" w:color="auto" w:sz="12" w:space="0"/>
            </w:tcBorders>
            <w:vAlign w:val="center"/>
          </w:tcPr>
          <w:p>
            <w:pPr>
              <w:adjustRightInd w:val="0"/>
              <w:snapToGrid w:val="0"/>
              <w:jc w:val="center"/>
              <w:rPr>
                <w:rFonts w:ascii="宋体" w:hAnsi="宋体" w:cs="Arial Narrow"/>
                <w:snapToGrid w:val="0"/>
                <w:kern w:val="0"/>
                <w:sz w:val="18"/>
                <w:szCs w:val="18"/>
              </w:rPr>
            </w:pPr>
            <w:r>
              <w:rPr>
                <w:rFonts w:hint="eastAsia" w:ascii="宋体" w:hAnsi="宋体" w:cs="宋体"/>
                <w:snapToGrid w:val="0"/>
                <w:kern w:val="0"/>
                <w:sz w:val="18"/>
                <w:szCs w:val="18"/>
              </w:rPr>
              <w:t>合</w:t>
            </w:r>
            <w:r>
              <w:rPr>
                <w:rFonts w:ascii="宋体" w:hAnsi="宋体" w:cs="Arial Narrow"/>
                <w:snapToGrid w:val="0"/>
                <w:kern w:val="0"/>
                <w:sz w:val="18"/>
                <w:szCs w:val="18"/>
              </w:rPr>
              <w:t xml:space="preserve">  </w:t>
            </w:r>
            <w:r>
              <w:rPr>
                <w:rFonts w:hint="eastAsia" w:ascii="宋体" w:hAnsi="宋体" w:cs="宋体"/>
                <w:snapToGrid w:val="0"/>
                <w:kern w:val="0"/>
                <w:sz w:val="18"/>
                <w:szCs w:val="18"/>
              </w:rPr>
              <w:t>计</w:t>
            </w:r>
          </w:p>
        </w:tc>
        <w:tc>
          <w:tcPr>
            <w:tcW w:w="1592" w:type="dxa"/>
            <w:tcBorders>
              <w:bottom w:val="single" w:color="auto" w:sz="12" w:space="0"/>
            </w:tcBorders>
            <w:vAlign w:val="center"/>
          </w:tcPr>
          <w:p>
            <w:pPr>
              <w:widowControl/>
              <w:jc w:val="right"/>
              <w:textAlignment w:val="center"/>
              <w:rPr>
                <w:rFonts w:ascii="Arial" w:hAnsi="Arial" w:cs="Arial"/>
                <w:color w:val="000000"/>
                <w:sz w:val="18"/>
                <w:szCs w:val="18"/>
              </w:rPr>
            </w:pPr>
            <w:r>
              <w:rPr>
                <w:rFonts w:ascii="Arial" w:hAnsi="Arial" w:cs="Arial"/>
                <w:color w:val="000000"/>
                <w:kern w:val="0"/>
                <w:sz w:val="18"/>
                <w:szCs w:val="18"/>
                <w:lang w:bidi="ar"/>
              </w:rPr>
              <w:t xml:space="preserve"> 54,912.35 </w:t>
            </w:r>
          </w:p>
        </w:tc>
        <w:tc>
          <w:tcPr>
            <w:tcW w:w="917" w:type="dxa"/>
            <w:tcBorders>
              <w:bottom w:val="single" w:color="auto" w:sz="12" w:space="0"/>
            </w:tcBorders>
            <w:vAlign w:val="center"/>
          </w:tcPr>
          <w:p>
            <w:pPr>
              <w:widowControl/>
              <w:jc w:val="right"/>
              <w:textAlignment w:val="center"/>
              <w:rPr>
                <w:rFonts w:ascii="Arial" w:hAnsi="Arial" w:cs="Arial"/>
                <w:color w:val="000000"/>
                <w:sz w:val="18"/>
                <w:szCs w:val="18"/>
              </w:rPr>
            </w:pPr>
            <w:r>
              <w:rPr>
                <w:rFonts w:ascii="Arial" w:hAnsi="Arial" w:cs="Arial"/>
                <w:color w:val="000000"/>
                <w:kern w:val="0"/>
                <w:sz w:val="18"/>
                <w:szCs w:val="18"/>
                <w:lang w:bidi="ar"/>
              </w:rPr>
              <w:t xml:space="preserve">  </w:t>
            </w:r>
          </w:p>
        </w:tc>
        <w:tc>
          <w:tcPr>
            <w:tcW w:w="1381" w:type="dxa"/>
            <w:tcBorders>
              <w:bottom w:val="single" w:color="auto" w:sz="12" w:space="0"/>
            </w:tcBorders>
            <w:vAlign w:val="center"/>
          </w:tcPr>
          <w:p>
            <w:pPr>
              <w:widowControl/>
              <w:jc w:val="right"/>
              <w:textAlignment w:val="center"/>
              <w:rPr>
                <w:rFonts w:ascii="Arial" w:hAnsi="Arial" w:cs="Arial"/>
                <w:color w:val="000000"/>
                <w:sz w:val="18"/>
                <w:szCs w:val="18"/>
              </w:rPr>
            </w:pPr>
            <w:r>
              <w:rPr>
                <w:rFonts w:ascii="Arial" w:hAnsi="Arial" w:cs="Arial"/>
                <w:color w:val="000000"/>
                <w:kern w:val="0"/>
                <w:sz w:val="18"/>
                <w:szCs w:val="18"/>
                <w:lang w:bidi="ar"/>
              </w:rPr>
              <w:t xml:space="preserve"> 274.56 </w:t>
            </w:r>
          </w:p>
        </w:tc>
        <w:tc>
          <w:tcPr>
            <w:tcW w:w="1564" w:type="dxa"/>
            <w:tcBorders>
              <w:bottom w:val="single" w:color="auto" w:sz="12" w:space="0"/>
            </w:tcBorders>
            <w:vAlign w:val="center"/>
          </w:tcPr>
          <w:p>
            <w:pPr>
              <w:widowControl/>
              <w:jc w:val="right"/>
              <w:textAlignment w:val="center"/>
              <w:rPr>
                <w:rFonts w:ascii="Arial" w:hAnsi="Arial" w:cs="Arial"/>
                <w:color w:val="000000"/>
                <w:sz w:val="18"/>
                <w:szCs w:val="18"/>
              </w:rPr>
            </w:pPr>
            <w:r>
              <w:rPr>
                <w:rFonts w:ascii="Arial" w:hAnsi="Arial" w:cs="Arial"/>
                <w:color w:val="000000"/>
                <w:kern w:val="0"/>
                <w:sz w:val="18"/>
                <w:szCs w:val="18"/>
                <w:lang w:bidi="ar"/>
              </w:rPr>
              <w:t xml:space="preserve"> 500.00 </w:t>
            </w:r>
          </w:p>
        </w:tc>
        <w:tc>
          <w:tcPr>
            <w:tcW w:w="794" w:type="dxa"/>
            <w:tcBorders>
              <w:bottom w:val="single" w:color="auto" w:sz="12" w:space="0"/>
            </w:tcBorders>
            <w:vAlign w:val="center"/>
          </w:tcPr>
          <w:p>
            <w:pPr>
              <w:widowControl/>
              <w:jc w:val="right"/>
              <w:textAlignment w:val="center"/>
              <w:rPr>
                <w:rFonts w:ascii="Arial" w:hAnsi="Arial" w:cs="Arial"/>
                <w:color w:val="000000"/>
                <w:sz w:val="18"/>
                <w:szCs w:val="18"/>
              </w:rPr>
            </w:pPr>
            <w:r>
              <w:rPr>
                <w:rFonts w:ascii="Arial" w:hAnsi="Arial" w:cs="Arial"/>
                <w:color w:val="000000"/>
                <w:kern w:val="0"/>
                <w:sz w:val="18"/>
                <w:szCs w:val="18"/>
                <w:lang w:bidi="ar"/>
              </w:rPr>
              <w:t xml:space="preserve"> </w:t>
            </w:r>
          </w:p>
        </w:tc>
        <w:tc>
          <w:tcPr>
            <w:tcW w:w="1298" w:type="dxa"/>
            <w:tcBorders>
              <w:bottom w:val="single" w:color="auto" w:sz="12" w:space="0"/>
            </w:tcBorders>
            <w:vAlign w:val="center"/>
          </w:tcPr>
          <w:p>
            <w:pPr>
              <w:widowControl/>
              <w:jc w:val="right"/>
              <w:textAlignment w:val="center"/>
              <w:rPr>
                <w:rFonts w:ascii="Arial" w:hAnsi="Arial" w:cs="Arial"/>
                <w:color w:val="000000"/>
                <w:sz w:val="18"/>
                <w:szCs w:val="18"/>
              </w:rPr>
            </w:pPr>
            <w:r>
              <w:rPr>
                <w:rFonts w:ascii="Arial" w:hAnsi="Arial" w:cs="Arial"/>
                <w:color w:val="000000"/>
                <w:kern w:val="0"/>
                <w:sz w:val="18"/>
                <w:szCs w:val="18"/>
                <w:lang w:bidi="ar"/>
              </w:rPr>
              <w:t xml:space="preserve"> 2.50 </w:t>
            </w:r>
          </w:p>
        </w:tc>
      </w:tr>
    </w:tbl>
    <w:p>
      <w:pPr>
        <w:adjustRightInd w:val="0"/>
        <w:snapToGrid w:val="0"/>
        <w:spacing w:after="156" w:afterLines="50"/>
        <w:ind w:firstLine="420" w:firstLineChars="200"/>
        <w:jc w:val="left"/>
        <w:rPr>
          <w:rFonts w:ascii="宋体" w:hAnsi="宋体"/>
          <w:snapToGrid w:val="0"/>
          <w:kern w:val="0"/>
        </w:rPr>
      </w:pPr>
      <w:r>
        <w:rPr>
          <w:rFonts w:hint="eastAsia" w:ascii="宋体" w:hAnsi="宋体"/>
          <w:snapToGrid w:val="0"/>
          <w:kern w:val="0"/>
        </w:rPr>
        <w:t>2、</w:t>
      </w:r>
      <w:r>
        <w:rPr>
          <w:rFonts w:ascii="宋体" w:hAnsi="宋体"/>
          <w:snapToGrid w:val="0"/>
          <w:kern w:val="0"/>
        </w:rPr>
        <w:t>其他应收</w:t>
      </w:r>
      <w:r>
        <w:rPr>
          <w:rFonts w:hint="eastAsia" w:ascii="宋体" w:hAnsi="宋体"/>
          <w:snapToGrid w:val="0"/>
          <w:kern w:val="0"/>
        </w:rPr>
        <w:t>款按款项性质分类情况</w:t>
      </w:r>
    </w:p>
    <w:tbl>
      <w:tblPr>
        <w:tblStyle w:val="31"/>
        <w:tblW w:w="8720" w:type="dxa"/>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092"/>
        <w:gridCol w:w="3403"/>
        <w:gridCol w:w="3225"/>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tblHeader/>
        </w:trPr>
        <w:tc>
          <w:tcPr>
            <w:tcW w:w="2092" w:type="dxa"/>
            <w:tcBorders>
              <w:top w:val="single" w:color="auto" w:sz="12" w:space="0"/>
            </w:tcBorders>
          </w:tcPr>
          <w:p>
            <w:pPr>
              <w:jc w:val="center"/>
              <w:rPr>
                <w:sz w:val="18"/>
                <w:szCs w:val="18"/>
              </w:rPr>
            </w:pPr>
            <w:r>
              <w:rPr>
                <w:rFonts w:hint="eastAsia"/>
                <w:sz w:val="18"/>
                <w:szCs w:val="18"/>
              </w:rPr>
              <w:t>款项性质</w:t>
            </w:r>
          </w:p>
        </w:tc>
        <w:tc>
          <w:tcPr>
            <w:tcW w:w="3403" w:type="dxa"/>
            <w:tcBorders>
              <w:top w:val="single" w:color="auto" w:sz="12" w:space="0"/>
            </w:tcBorders>
          </w:tcPr>
          <w:p>
            <w:pPr>
              <w:jc w:val="center"/>
              <w:rPr>
                <w:sz w:val="18"/>
                <w:szCs w:val="18"/>
              </w:rPr>
            </w:pPr>
            <w:r>
              <w:rPr>
                <w:sz w:val="18"/>
                <w:szCs w:val="18"/>
              </w:rPr>
              <w:t>期末</w:t>
            </w:r>
            <w:r>
              <w:rPr>
                <w:rFonts w:hint="eastAsia"/>
                <w:sz w:val="18"/>
                <w:szCs w:val="18"/>
              </w:rPr>
              <w:t>余额</w:t>
            </w:r>
          </w:p>
        </w:tc>
        <w:tc>
          <w:tcPr>
            <w:tcW w:w="3225" w:type="dxa"/>
            <w:tcBorders>
              <w:top w:val="single" w:color="auto" w:sz="12" w:space="0"/>
            </w:tcBorders>
          </w:tcPr>
          <w:p>
            <w:pPr>
              <w:jc w:val="center"/>
              <w:rPr>
                <w:sz w:val="18"/>
                <w:szCs w:val="18"/>
              </w:rPr>
            </w:pPr>
            <w:r>
              <w:rPr>
                <w:sz w:val="18"/>
                <w:szCs w:val="18"/>
              </w:rPr>
              <w:t>期初</w:t>
            </w:r>
            <w:r>
              <w:rPr>
                <w:rFonts w:hint="eastAsia"/>
                <w:sz w:val="18"/>
                <w:szCs w:val="18"/>
              </w:rPr>
              <w:t>余额</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trPr>
        <w:tc>
          <w:tcPr>
            <w:tcW w:w="2092" w:type="dxa"/>
            <w:vAlign w:val="center"/>
          </w:tcPr>
          <w:p>
            <w:pPr>
              <w:widowControl/>
              <w:jc w:val="left"/>
              <w:textAlignment w:val="center"/>
              <w:rPr>
                <w:rFonts w:ascii="宋体" w:hAnsi="宋体" w:cs="宋体"/>
                <w:sz w:val="18"/>
                <w:szCs w:val="18"/>
              </w:rPr>
            </w:pPr>
            <w:r>
              <w:rPr>
                <w:rFonts w:hint="eastAsia" w:ascii="宋体" w:hAnsi="宋体" w:cs="宋体"/>
                <w:sz w:val="18"/>
                <w:szCs w:val="18"/>
              </w:rPr>
              <w:t>借款</w:t>
            </w:r>
          </w:p>
        </w:tc>
        <w:tc>
          <w:tcPr>
            <w:tcW w:w="3403" w:type="dxa"/>
            <w:vAlign w:val="center"/>
          </w:tcPr>
          <w:p>
            <w:pPr>
              <w:widowControl/>
              <w:jc w:val="right"/>
              <w:textAlignment w:val="center"/>
              <w:rPr>
                <w:rFonts w:ascii="Arial Narrow" w:hAnsi="Arial Narrow"/>
                <w:color w:val="000000"/>
                <w:sz w:val="18"/>
                <w:szCs w:val="18"/>
              </w:rPr>
            </w:pPr>
            <w:r>
              <w:rPr>
                <w:rFonts w:ascii="Arial" w:hAnsi="Arial" w:cs="Arial"/>
                <w:color w:val="000000"/>
                <w:kern w:val="0"/>
                <w:sz w:val="18"/>
                <w:szCs w:val="18"/>
                <w:lang w:bidi="ar"/>
              </w:rPr>
              <w:t xml:space="preserve"> 54,912.35 </w:t>
            </w:r>
          </w:p>
        </w:tc>
        <w:tc>
          <w:tcPr>
            <w:tcW w:w="3225" w:type="dxa"/>
            <w:vAlign w:val="center"/>
          </w:tcPr>
          <w:p>
            <w:pPr>
              <w:widowControl/>
              <w:jc w:val="right"/>
              <w:textAlignment w:val="center"/>
              <w:rPr>
                <w:rFonts w:ascii="Arial Narrow" w:hAnsi="Arial Narrow" w:cs="Arial Narrow"/>
                <w:sz w:val="18"/>
                <w:szCs w:val="18"/>
              </w:rPr>
            </w:pPr>
            <w:r>
              <w:rPr>
                <w:rFonts w:ascii="Arial" w:hAnsi="Arial" w:cs="Arial"/>
                <w:color w:val="000000"/>
                <w:kern w:val="0"/>
                <w:sz w:val="18"/>
                <w:szCs w:val="18"/>
                <w:lang w:bidi="ar"/>
              </w:rPr>
              <w:t xml:space="preserve"> 500.00 </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trPr>
        <w:tc>
          <w:tcPr>
            <w:tcW w:w="2092" w:type="dxa"/>
            <w:tcBorders>
              <w:bottom w:val="single" w:color="auto" w:sz="12" w:space="0"/>
            </w:tcBorders>
            <w:vAlign w:val="center"/>
          </w:tcPr>
          <w:p>
            <w:pPr>
              <w:widowControl/>
              <w:textAlignment w:val="center"/>
              <w:rPr>
                <w:sz w:val="18"/>
                <w:szCs w:val="18"/>
              </w:rPr>
            </w:pPr>
            <w:r>
              <w:rPr>
                <w:color w:val="000000"/>
                <w:kern w:val="0"/>
                <w:sz w:val="18"/>
                <w:szCs w:val="18"/>
                <w:lang w:bidi="ar"/>
              </w:rPr>
              <w:t>合计</w:t>
            </w:r>
          </w:p>
        </w:tc>
        <w:tc>
          <w:tcPr>
            <w:tcW w:w="3403" w:type="dxa"/>
            <w:tcBorders>
              <w:bottom w:val="single" w:color="auto" w:sz="12" w:space="0"/>
            </w:tcBorders>
            <w:vAlign w:val="center"/>
          </w:tcPr>
          <w:p>
            <w:pPr>
              <w:widowControl/>
              <w:jc w:val="right"/>
              <w:textAlignment w:val="center"/>
              <w:rPr>
                <w:rFonts w:ascii="Arial Narrow" w:hAnsi="Arial Narrow" w:cs="Arial Narrow"/>
                <w:snapToGrid w:val="0"/>
                <w:kern w:val="0"/>
                <w:sz w:val="18"/>
                <w:szCs w:val="18"/>
              </w:rPr>
            </w:pPr>
            <w:r>
              <w:rPr>
                <w:rFonts w:ascii="Arial" w:hAnsi="Arial" w:cs="Arial"/>
                <w:color w:val="000000"/>
                <w:kern w:val="0"/>
                <w:sz w:val="18"/>
                <w:szCs w:val="18"/>
                <w:lang w:bidi="ar"/>
              </w:rPr>
              <w:t xml:space="preserve"> 54,912.35 </w:t>
            </w:r>
          </w:p>
        </w:tc>
        <w:tc>
          <w:tcPr>
            <w:tcW w:w="3225" w:type="dxa"/>
            <w:tcBorders>
              <w:bottom w:val="single" w:color="auto" w:sz="12" w:space="0"/>
            </w:tcBorders>
            <w:vAlign w:val="center"/>
          </w:tcPr>
          <w:p>
            <w:pPr>
              <w:widowControl/>
              <w:jc w:val="right"/>
              <w:textAlignment w:val="center"/>
              <w:rPr>
                <w:rFonts w:ascii="Arial Narrow" w:hAnsi="Arial Narrow" w:cs="Arial Narrow"/>
                <w:sz w:val="18"/>
                <w:szCs w:val="18"/>
              </w:rPr>
            </w:pPr>
            <w:r>
              <w:rPr>
                <w:rFonts w:ascii="Arial" w:hAnsi="Arial" w:cs="Arial"/>
                <w:color w:val="000000"/>
                <w:kern w:val="0"/>
                <w:sz w:val="18"/>
                <w:szCs w:val="18"/>
                <w:lang w:bidi="ar"/>
              </w:rPr>
              <w:t xml:space="preserve"> 500.00 </w:t>
            </w:r>
          </w:p>
        </w:tc>
      </w:tr>
    </w:tbl>
    <w:p>
      <w:pPr>
        <w:adjustRightInd w:val="0"/>
        <w:snapToGrid w:val="0"/>
        <w:spacing w:after="156" w:afterLines="50" w:line="460" w:lineRule="atLeast"/>
        <w:ind w:firstLine="420" w:firstLineChars="200"/>
        <w:rPr>
          <w:rFonts w:ascii="宋体" w:hAnsi="宋体" w:cs="Arial"/>
          <w:kern w:val="0"/>
        </w:rPr>
      </w:pPr>
      <w:r>
        <w:rPr>
          <w:rFonts w:hint="eastAsia" w:ascii="宋体" w:hAnsi="宋体" w:cs="Arial"/>
          <w:kern w:val="0"/>
        </w:rPr>
        <w:t>3、</w:t>
      </w:r>
      <w:r>
        <w:rPr>
          <w:rFonts w:hint="eastAsia"/>
        </w:rPr>
        <w:t>按欠款方归集的期末余额</w:t>
      </w:r>
      <w:r>
        <w:t>前五名</w:t>
      </w:r>
      <w:r>
        <w:rPr>
          <w:rFonts w:hint="eastAsia"/>
        </w:rPr>
        <w:t>的其他应收款</w:t>
      </w:r>
      <w:r>
        <w:t>情况</w:t>
      </w:r>
    </w:p>
    <w:tbl>
      <w:tblPr>
        <w:tblStyle w:val="31"/>
        <w:tblW w:w="8720" w:type="dxa"/>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772"/>
        <w:gridCol w:w="1425"/>
        <w:gridCol w:w="1425"/>
        <w:gridCol w:w="1250"/>
        <w:gridCol w:w="1425"/>
        <w:gridCol w:w="1423"/>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blHeader/>
        </w:trPr>
        <w:tc>
          <w:tcPr>
            <w:tcW w:w="1772" w:type="dxa"/>
            <w:tcBorders>
              <w:top w:val="single" w:color="auto" w:sz="12" w:space="0"/>
            </w:tcBorders>
            <w:vAlign w:val="center"/>
          </w:tcPr>
          <w:p>
            <w:pPr>
              <w:adjustRightInd w:val="0"/>
              <w:snapToGrid w:val="0"/>
              <w:jc w:val="center"/>
              <w:rPr>
                <w:rFonts w:ascii="宋体" w:hAnsi="宋体"/>
                <w:snapToGrid w:val="0"/>
                <w:kern w:val="0"/>
                <w:sz w:val="18"/>
                <w:szCs w:val="18"/>
              </w:rPr>
            </w:pPr>
            <w:r>
              <w:rPr>
                <w:rFonts w:hint="eastAsia" w:ascii="宋体" w:hAnsi="宋体"/>
                <w:snapToGrid w:val="0"/>
                <w:kern w:val="0"/>
                <w:sz w:val="18"/>
                <w:szCs w:val="18"/>
              </w:rPr>
              <w:t>债务人</w:t>
            </w:r>
          </w:p>
          <w:p>
            <w:pPr>
              <w:adjustRightInd w:val="0"/>
              <w:snapToGrid w:val="0"/>
              <w:jc w:val="center"/>
              <w:rPr>
                <w:rFonts w:ascii="宋体" w:hAnsi="宋体"/>
                <w:snapToGrid w:val="0"/>
                <w:kern w:val="0"/>
                <w:sz w:val="18"/>
                <w:szCs w:val="18"/>
              </w:rPr>
            </w:pPr>
            <w:r>
              <w:rPr>
                <w:rFonts w:hint="eastAsia" w:ascii="宋体" w:hAnsi="宋体"/>
                <w:snapToGrid w:val="0"/>
                <w:kern w:val="0"/>
                <w:sz w:val="18"/>
                <w:szCs w:val="18"/>
              </w:rPr>
              <w:t>名称</w:t>
            </w:r>
          </w:p>
        </w:tc>
        <w:tc>
          <w:tcPr>
            <w:tcW w:w="1425" w:type="dxa"/>
            <w:tcBorders>
              <w:top w:val="single" w:color="auto" w:sz="12" w:space="0"/>
            </w:tcBorders>
            <w:vAlign w:val="center"/>
          </w:tcPr>
          <w:p>
            <w:pPr>
              <w:adjustRightInd w:val="0"/>
              <w:snapToGrid w:val="0"/>
              <w:jc w:val="center"/>
              <w:rPr>
                <w:rFonts w:ascii="宋体" w:hAnsi="宋体"/>
                <w:snapToGrid w:val="0"/>
                <w:kern w:val="0"/>
                <w:sz w:val="18"/>
                <w:szCs w:val="18"/>
              </w:rPr>
            </w:pPr>
            <w:r>
              <w:rPr>
                <w:rFonts w:hint="eastAsia" w:ascii="宋体" w:hAnsi="宋体"/>
                <w:snapToGrid w:val="0"/>
                <w:kern w:val="0"/>
                <w:sz w:val="18"/>
                <w:szCs w:val="18"/>
              </w:rPr>
              <w:t>款项</w:t>
            </w:r>
          </w:p>
          <w:p>
            <w:pPr>
              <w:adjustRightInd w:val="0"/>
              <w:snapToGrid w:val="0"/>
              <w:jc w:val="center"/>
              <w:rPr>
                <w:rFonts w:ascii="宋体" w:hAnsi="宋体"/>
                <w:snapToGrid w:val="0"/>
                <w:kern w:val="0"/>
                <w:sz w:val="18"/>
                <w:szCs w:val="18"/>
              </w:rPr>
            </w:pPr>
            <w:r>
              <w:rPr>
                <w:rFonts w:hint="eastAsia" w:ascii="宋体" w:hAnsi="宋体"/>
                <w:snapToGrid w:val="0"/>
                <w:kern w:val="0"/>
                <w:sz w:val="18"/>
                <w:szCs w:val="18"/>
              </w:rPr>
              <w:t>性质</w:t>
            </w:r>
          </w:p>
        </w:tc>
        <w:tc>
          <w:tcPr>
            <w:tcW w:w="1425" w:type="dxa"/>
            <w:tcBorders>
              <w:top w:val="single" w:color="auto" w:sz="12" w:space="0"/>
            </w:tcBorders>
            <w:vAlign w:val="center"/>
          </w:tcPr>
          <w:p>
            <w:pPr>
              <w:adjustRightInd w:val="0"/>
              <w:snapToGrid w:val="0"/>
              <w:jc w:val="center"/>
              <w:rPr>
                <w:rFonts w:ascii="宋体" w:hAnsi="宋体"/>
                <w:snapToGrid w:val="0"/>
                <w:kern w:val="0"/>
                <w:sz w:val="18"/>
                <w:szCs w:val="18"/>
              </w:rPr>
            </w:pPr>
            <w:r>
              <w:rPr>
                <w:rFonts w:hint="eastAsia" w:ascii="宋体" w:hAnsi="宋体"/>
                <w:snapToGrid w:val="0"/>
                <w:kern w:val="0"/>
                <w:sz w:val="18"/>
                <w:szCs w:val="18"/>
              </w:rPr>
              <w:t>期末余额</w:t>
            </w:r>
          </w:p>
        </w:tc>
        <w:tc>
          <w:tcPr>
            <w:tcW w:w="1250" w:type="dxa"/>
            <w:tcBorders>
              <w:top w:val="single" w:color="auto" w:sz="12" w:space="0"/>
            </w:tcBorders>
            <w:vAlign w:val="center"/>
          </w:tcPr>
          <w:p>
            <w:pPr>
              <w:adjustRightInd w:val="0"/>
              <w:snapToGrid w:val="0"/>
              <w:jc w:val="center"/>
              <w:rPr>
                <w:rFonts w:ascii="宋体" w:hAnsi="宋体"/>
                <w:snapToGrid w:val="0"/>
                <w:kern w:val="0"/>
                <w:sz w:val="18"/>
                <w:szCs w:val="18"/>
              </w:rPr>
            </w:pPr>
            <w:r>
              <w:rPr>
                <w:rFonts w:hint="eastAsia"/>
                <w:sz w:val="18"/>
                <w:szCs w:val="18"/>
              </w:rPr>
              <w:t>账龄</w:t>
            </w:r>
          </w:p>
        </w:tc>
        <w:tc>
          <w:tcPr>
            <w:tcW w:w="1425" w:type="dxa"/>
            <w:tcBorders>
              <w:top w:val="single" w:color="auto" w:sz="12" w:space="0"/>
            </w:tcBorders>
            <w:vAlign w:val="center"/>
          </w:tcPr>
          <w:p>
            <w:pPr>
              <w:adjustRightInd w:val="0"/>
              <w:snapToGrid w:val="0"/>
              <w:jc w:val="center"/>
              <w:rPr>
                <w:rFonts w:ascii="宋体" w:hAnsi="宋体"/>
                <w:snapToGrid w:val="0"/>
                <w:kern w:val="0"/>
                <w:sz w:val="18"/>
                <w:szCs w:val="18"/>
              </w:rPr>
            </w:pPr>
            <w:r>
              <w:rPr>
                <w:rFonts w:hint="eastAsia" w:ascii="宋体" w:hAnsi="宋体" w:cs="宋体"/>
                <w:snapToGrid w:val="0"/>
                <w:kern w:val="0"/>
                <w:sz w:val="18"/>
                <w:szCs w:val="18"/>
              </w:rPr>
              <w:t>占其他应收款期末余额合计数的比例(%)</w:t>
            </w:r>
          </w:p>
        </w:tc>
        <w:tc>
          <w:tcPr>
            <w:tcW w:w="1423" w:type="dxa"/>
            <w:tcBorders>
              <w:top w:val="single" w:color="auto" w:sz="12" w:space="0"/>
            </w:tcBorders>
            <w:vAlign w:val="center"/>
          </w:tcPr>
          <w:p>
            <w:pPr>
              <w:adjustRightInd w:val="0"/>
              <w:snapToGrid w:val="0"/>
              <w:jc w:val="center"/>
              <w:rPr>
                <w:rFonts w:ascii="宋体" w:hAnsi="宋体"/>
                <w:snapToGrid w:val="0"/>
                <w:kern w:val="0"/>
                <w:sz w:val="18"/>
                <w:szCs w:val="18"/>
              </w:rPr>
            </w:pPr>
            <w:r>
              <w:rPr>
                <w:rFonts w:hint="eastAsia" w:ascii="宋体" w:hAnsi="宋体"/>
                <w:snapToGrid w:val="0"/>
                <w:kern w:val="0"/>
                <w:sz w:val="18"/>
                <w:szCs w:val="18"/>
              </w:rPr>
              <w:t>坏账准备</w:t>
            </w:r>
          </w:p>
          <w:p>
            <w:pPr>
              <w:adjustRightInd w:val="0"/>
              <w:snapToGrid w:val="0"/>
              <w:jc w:val="center"/>
              <w:rPr>
                <w:rFonts w:ascii="宋体" w:hAnsi="宋体"/>
                <w:snapToGrid w:val="0"/>
                <w:kern w:val="0"/>
                <w:sz w:val="18"/>
                <w:szCs w:val="18"/>
              </w:rPr>
            </w:pPr>
            <w:r>
              <w:rPr>
                <w:rFonts w:hint="eastAsia" w:ascii="宋体" w:hAnsi="宋体"/>
                <w:snapToGrid w:val="0"/>
                <w:kern w:val="0"/>
                <w:sz w:val="18"/>
                <w:szCs w:val="18"/>
              </w:rPr>
              <w:t>余额</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772" w:type="dxa"/>
            <w:vAlign w:val="center"/>
          </w:tcPr>
          <w:p>
            <w:pPr>
              <w:widowControl/>
              <w:textAlignment w:val="center"/>
              <w:rPr>
                <w:sz w:val="18"/>
                <w:szCs w:val="18"/>
              </w:rPr>
            </w:pPr>
            <w:r>
              <w:rPr>
                <w:rFonts w:hint="eastAsia" w:ascii="宋体" w:hAnsi="宋体" w:cs="宋体"/>
                <w:color w:val="000000"/>
                <w:kern w:val="0"/>
                <w:sz w:val="18"/>
                <w:szCs w:val="18"/>
                <w:lang w:bidi="ar"/>
              </w:rPr>
              <w:t>王峰</w:t>
            </w:r>
          </w:p>
        </w:tc>
        <w:tc>
          <w:tcPr>
            <w:tcW w:w="1425" w:type="dxa"/>
            <w:vAlign w:val="center"/>
          </w:tcPr>
          <w:p>
            <w:pPr>
              <w:widowControl/>
              <w:jc w:val="center"/>
              <w:textAlignment w:val="center"/>
              <w:rPr>
                <w:rFonts w:ascii="Arial Narrow" w:hAnsi="Arial Narrow" w:cs="Arial Narrow"/>
                <w:snapToGrid w:val="0"/>
                <w:kern w:val="0"/>
                <w:sz w:val="18"/>
                <w:szCs w:val="18"/>
              </w:rPr>
            </w:pPr>
            <w:r>
              <w:rPr>
                <w:rFonts w:hint="eastAsia" w:ascii="宋体" w:hAnsi="宋体" w:cs="宋体"/>
                <w:color w:val="000000"/>
                <w:kern w:val="0"/>
                <w:sz w:val="18"/>
                <w:szCs w:val="18"/>
                <w:lang w:bidi="ar"/>
              </w:rPr>
              <w:t xml:space="preserve"> 借款 </w:t>
            </w:r>
          </w:p>
        </w:tc>
        <w:tc>
          <w:tcPr>
            <w:tcW w:w="1425" w:type="dxa"/>
            <w:vAlign w:val="center"/>
          </w:tcPr>
          <w:p>
            <w:pPr>
              <w:widowControl/>
              <w:jc w:val="right"/>
              <w:textAlignment w:val="center"/>
              <w:rPr>
                <w:rFonts w:ascii="Arial Narrow" w:hAnsi="Arial Narrow" w:cs="Arial Narrow"/>
                <w:snapToGrid w:val="0"/>
                <w:kern w:val="0"/>
                <w:sz w:val="18"/>
                <w:szCs w:val="18"/>
              </w:rPr>
            </w:pPr>
            <w:r>
              <w:rPr>
                <w:rFonts w:ascii="Arial" w:hAnsi="Arial" w:cs="Arial"/>
                <w:color w:val="000000"/>
                <w:kern w:val="0"/>
                <w:sz w:val="18"/>
                <w:szCs w:val="18"/>
                <w:lang w:bidi="ar"/>
              </w:rPr>
              <w:t xml:space="preserve"> 25,700.00 </w:t>
            </w:r>
          </w:p>
        </w:tc>
        <w:tc>
          <w:tcPr>
            <w:tcW w:w="1250" w:type="dxa"/>
            <w:vAlign w:val="center"/>
          </w:tcPr>
          <w:p>
            <w:pPr>
              <w:widowControl/>
              <w:jc w:val="center"/>
              <w:textAlignment w:val="center"/>
              <w:rPr>
                <w:rFonts w:cs="Arial Narrow" w:asciiTheme="majorEastAsia" w:hAnsiTheme="majorEastAsia" w:eastAsiaTheme="majorEastAsia"/>
                <w:snapToGrid w:val="0"/>
                <w:kern w:val="0"/>
                <w:sz w:val="18"/>
                <w:szCs w:val="18"/>
              </w:rPr>
            </w:pPr>
            <w:r>
              <w:rPr>
                <w:rStyle w:val="83"/>
                <w:lang w:bidi="ar"/>
              </w:rPr>
              <w:t xml:space="preserve"> </w:t>
            </w:r>
            <w:r>
              <w:rPr>
                <w:rFonts w:hint="eastAsia" w:ascii="宋体" w:hAnsi="宋体" w:cs="宋体"/>
                <w:color w:val="000000"/>
                <w:kern w:val="0"/>
                <w:sz w:val="18"/>
                <w:szCs w:val="18"/>
                <w:lang w:bidi="ar"/>
              </w:rPr>
              <w:t xml:space="preserve">1年以内 </w:t>
            </w:r>
          </w:p>
        </w:tc>
        <w:tc>
          <w:tcPr>
            <w:tcW w:w="1425" w:type="dxa"/>
            <w:vAlign w:val="center"/>
          </w:tcPr>
          <w:p>
            <w:pPr>
              <w:widowControl/>
              <w:jc w:val="right"/>
              <w:textAlignment w:val="center"/>
              <w:rPr>
                <w:rFonts w:ascii="Arial Narrow" w:hAnsi="Arial Narrow" w:cs="Arial Narrow"/>
                <w:snapToGrid w:val="0"/>
                <w:kern w:val="0"/>
                <w:sz w:val="18"/>
                <w:szCs w:val="18"/>
              </w:rPr>
            </w:pPr>
            <w:r>
              <w:rPr>
                <w:rFonts w:ascii="Arial" w:hAnsi="Arial" w:cs="Arial"/>
                <w:color w:val="000000"/>
                <w:kern w:val="0"/>
                <w:sz w:val="18"/>
                <w:szCs w:val="18"/>
                <w:lang w:bidi="ar"/>
              </w:rPr>
              <w:t xml:space="preserve"> 46.80 </w:t>
            </w:r>
          </w:p>
        </w:tc>
        <w:tc>
          <w:tcPr>
            <w:tcW w:w="1423" w:type="dxa"/>
            <w:vAlign w:val="center"/>
          </w:tcPr>
          <w:p>
            <w:pPr>
              <w:widowControl/>
              <w:textAlignment w:val="center"/>
              <w:rPr>
                <w:rFonts w:ascii="Arial Narrow" w:hAnsi="Arial Narrow" w:cs="Arial Narrow"/>
                <w:snapToGrid w:val="0"/>
                <w:kern w:val="0"/>
                <w:sz w:val="18"/>
                <w:szCs w:val="18"/>
              </w:rPr>
            </w:pPr>
            <w:r>
              <w:rPr>
                <w:rFonts w:ascii="Arial" w:hAnsi="Arial" w:cs="Arial"/>
                <w:color w:val="000000"/>
                <w:kern w:val="0"/>
                <w:sz w:val="18"/>
                <w:szCs w:val="18"/>
                <w:lang w:bidi="ar"/>
              </w:rPr>
              <w:t xml:space="preserve"> 128.50 </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772" w:type="dxa"/>
            <w:vAlign w:val="center"/>
          </w:tcPr>
          <w:p>
            <w:pPr>
              <w:widowControl/>
              <w:textAlignment w:val="center"/>
              <w:rPr>
                <w:sz w:val="18"/>
                <w:szCs w:val="18"/>
              </w:rPr>
            </w:pPr>
            <w:r>
              <w:rPr>
                <w:color w:val="000000"/>
                <w:kern w:val="0"/>
                <w:sz w:val="18"/>
                <w:szCs w:val="18"/>
                <w:lang w:bidi="ar"/>
              </w:rPr>
              <w:t>叶倩娜</w:t>
            </w:r>
          </w:p>
        </w:tc>
        <w:tc>
          <w:tcPr>
            <w:tcW w:w="1425" w:type="dxa"/>
            <w:vAlign w:val="center"/>
          </w:tcPr>
          <w:p>
            <w:pPr>
              <w:widowControl/>
              <w:jc w:val="center"/>
              <w:textAlignment w:val="center"/>
              <w:rPr>
                <w:rFonts w:ascii="Arial Narrow" w:hAnsi="Arial Narrow" w:cs="Arial Narrow"/>
                <w:snapToGrid w:val="0"/>
                <w:kern w:val="0"/>
                <w:sz w:val="18"/>
                <w:szCs w:val="18"/>
              </w:rPr>
            </w:pPr>
            <w:r>
              <w:rPr>
                <w:rFonts w:hint="eastAsia" w:ascii="宋体" w:hAnsi="宋体" w:cs="宋体"/>
                <w:color w:val="000000"/>
                <w:kern w:val="0"/>
                <w:sz w:val="18"/>
                <w:szCs w:val="18"/>
                <w:lang w:bidi="ar"/>
              </w:rPr>
              <w:t xml:space="preserve"> 借款 </w:t>
            </w:r>
          </w:p>
        </w:tc>
        <w:tc>
          <w:tcPr>
            <w:tcW w:w="1425" w:type="dxa"/>
            <w:vAlign w:val="center"/>
          </w:tcPr>
          <w:p>
            <w:pPr>
              <w:widowControl/>
              <w:jc w:val="right"/>
              <w:textAlignment w:val="center"/>
              <w:rPr>
                <w:rFonts w:ascii="Arial Narrow" w:hAnsi="Arial Narrow" w:cs="Arial Narrow"/>
                <w:snapToGrid w:val="0"/>
                <w:kern w:val="0"/>
                <w:sz w:val="18"/>
                <w:szCs w:val="18"/>
              </w:rPr>
            </w:pPr>
            <w:r>
              <w:rPr>
                <w:rFonts w:ascii="Arial" w:hAnsi="Arial" w:cs="Arial"/>
                <w:color w:val="000000"/>
                <w:kern w:val="0"/>
                <w:sz w:val="18"/>
                <w:szCs w:val="18"/>
                <w:lang w:bidi="ar"/>
              </w:rPr>
              <w:t xml:space="preserve"> 18,360.00 </w:t>
            </w:r>
          </w:p>
        </w:tc>
        <w:tc>
          <w:tcPr>
            <w:tcW w:w="1250" w:type="dxa"/>
            <w:vAlign w:val="center"/>
          </w:tcPr>
          <w:p>
            <w:pPr>
              <w:widowControl/>
              <w:jc w:val="center"/>
              <w:textAlignment w:val="center"/>
              <w:rPr>
                <w:rFonts w:cs="Arial Narrow" w:asciiTheme="majorEastAsia" w:hAnsiTheme="majorEastAsia" w:eastAsiaTheme="majorEastAsia"/>
                <w:snapToGrid w:val="0"/>
                <w:kern w:val="0"/>
                <w:sz w:val="18"/>
                <w:szCs w:val="18"/>
              </w:rPr>
            </w:pPr>
            <w:r>
              <w:rPr>
                <w:rFonts w:ascii="Arial" w:hAnsi="Arial" w:cs="Arial"/>
                <w:color w:val="000000"/>
                <w:kern w:val="0"/>
                <w:sz w:val="18"/>
                <w:szCs w:val="18"/>
                <w:lang w:bidi="ar"/>
              </w:rPr>
              <w:t xml:space="preserve"> </w:t>
            </w:r>
            <w:r>
              <w:rPr>
                <w:rFonts w:hint="eastAsia" w:ascii="宋体" w:hAnsi="宋体" w:cs="宋体"/>
                <w:color w:val="000000"/>
                <w:kern w:val="0"/>
                <w:sz w:val="18"/>
                <w:szCs w:val="18"/>
                <w:lang w:bidi="ar"/>
              </w:rPr>
              <w:t>1</w:t>
            </w:r>
            <w:r>
              <w:rPr>
                <w:rFonts w:ascii="Arial" w:hAnsi="Arial" w:cs="Arial"/>
                <w:color w:val="000000"/>
                <w:kern w:val="0"/>
                <w:sz w:val="18"/>
                <w:szCs w:val="18"/>
                <w:lang w:bidi="ar"/>
              </w:rPr>
              <w:t xml:space="preserve">年以内 </w:t>
            </w:r>
          </w:p>
        </w:tc>
        <w:tc>
          <w:tcPr>
            <w:tcW w:w="1425" w:type="dxa"/>
            <w:vAlign w:val="center"/>
          </w:tcPr>
          <w:p>
            <w:pPr>
              <w:widowControl/>
              <w:jc w:val="right"/>
              <w:textAlignment w:val="center"/>
              <w:rPr>
                <w:rFonts w:ascii="Arial Narrow" w:hAnsi="Arial Narrow" w:cs="Arial Narrow"/>
                <w:snapToGrid w:val="0"/>
                <w:kern w:val="0"/>
                <w:sz w:val="18"/>
                <w:szCs w:val="18"/>
              </w:rPr>
            </w:pPr>
            <w:r>
              <w:rPr>
                <w:rFonts w:ascii="Arial" w:hAnsi="Arial" w:cs="Arial"/>
                <w:color w:val="000000"/>
                <w:kern w:val="0"/>
                <w:sz w:val="18"/>
                <w:szCs w:val="18"/>
                <w:lang w:bidi="ar"/>
              </w:rPr>
              <w:t xml:space="preserve"> 33.44 </w:t>
            </w:r>
          </w:p>
        </w:tc>
        <w:tc>
          <w:tcPr>
            <w:tcW w:w="1423" w:type="dxa"/>
            <w:vAlign w:val="center"/>
          </w:tcPr>
          <w:p>
            <w:pPr>
              <w:widowControl/>
              <w:textAlignment w:val="center"/>
              <w:rPr>
                <w:rFonts w:ascii="Arial Narrow" w:hAnsi="Arial Narrow" w:cs="Arial Narrow"/>
                <w:snapToGrid w:val="0"/>
                <w:kern w:val="0"/>
                <w:sz w:val="18"/>
                <w:szCs w:val="18"/>
              </w:rPr>
            </w:pPr>
            <w:r>
              <w:rPr>
                <w:rFonts w:ascii="Arial" w:hAnsi="Arial" w:cs="Arial"/>
                <w:color w:val="000000"/>
                <w:kern w:val="0"/>
                <w:sz w:val="18"/>
                <w:szCs w:val="18"/>
                <w:lang w:bidi="ar"/>
              </w:rPr>
              <w:t xml:space="preserve"> 91.80 </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772" w:type="dxa"/>
            <w:vAlign w:val="center"/>
          </w:tcPr>
          <w:p>
            <w:pPr>
              <w:widowControl/>
              <w:textAlignment w:val="center"/>
              <w:rPr>
                <w:color w:val="000000"/>
                <w:kern w:val="0"/>
                <w:sz w:val="18"/>
                <w:szCs w:val="18"/>
                <w:lang w:bidi="ar"/>
              </w:rPr>
            </w:pPr>
            <w:r>
              <w:rPr>
                <w:color w:val="000000"/>
                <w:kern w:val="0"/>
                <w:sz w:val="18"/>
                <w:szCs w:val="18"/>
                <w:lang w:bidi="ar"/>
              </w:rPr>
              <w:t>吕辉</w:t>
            </w:r>
          </w:p>
        </w:tc>
        <w:tc>
          <w:tcPr>
            <w:tcW w:w="1425" w:type="dxa"/>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 xml:space="preserve"> 借款 </w:t>
            </w:r>
          </w:p>
        </w:tc>
        <w:tc>
          <w:tcPr>
            <w:tcW w:w="1425" w:type="dxa"/>
            <w:vAlign w:val="center"/>
          </w:tcPr>
          <w:p>
            <w:pPr>
              <w:widowControl/>
              <w:jc w:val="right"/>
              <w:textAlignment w:val="center"/>
              <w:rPr>
                <w:rFonts w:ascii="Arial" w:hAnsi="Arial" w:cs="Arial"/>
                <w:color w:val="000000"/>
                <w:kern w:val="0"/>
                <w:sz w:val="18"/>
                <w:szCs w:val="18"/>
                <w:lang w:bidi="ar"/>
              </w:rPr>
            </w:pPr>
            <w:r>
              <w:rPr>
                <w:rFonts w:ascii="Arial" w:hAnsi="Arial" w:cs="Arial"/>
                <w:color w:val="000000"/>
                <w:kern w:val="0"/>
                <w:sz w:val="18"/>
                <w:szCs w:val="18"/>
                <w:lang w:bidi="ar"/>
              </w:rPr>
              <w:t xml:space="preserve"> 5,200.00 </w:t>
            </w:r>
          </w:p>
        </w:tc>
        <w:tc>
          <w:tcPr>
            <w:tcW w:w="1250" w:type="dxa"/>
            <w:vAlign w:val="center"/>
          </w:tcPr>
          <w:p>
            <w:pPr>
              <w:widowControl/>
              <w:jc w:val="center"/>
              <w:textAlignment w:val="center"/>
              <w:rPr>
                <w:rFonts w:ascii="Arial" w:hAnsi="Arial" w:cs="Arial"/>
                <w:color w:val="000000"/>
                <w:kern w:val="0"/>
                <w:sz w:val="18"/>
                <w:szCs w:val="18"/>
                <w:lang w:bidi="ar"/>
              </w:rPr>
            </w:pPr>
            <w:r>
              <w:rPr>
                <w:rStyle w:val="83"/>
                <w:lang w:bidi="ar"/>
              </w:rPr>
              <w:t xml:space="preserve"> </w:t>
            </w:r>
            <w:r>
              <w:rPr>
                <w:rFonts w:hint="eastAsia" w:ascii="宋体" w:hAnsi="宋体" w:cs="宋体"/>
                <w:color w:val="000000"/>
                <w:kern w:val="0"/>
                <w:sz w:val="18"/>
                <w:szCs w:val="18"/>
                <w:lang w:bidi="ar"/>
              </w:rPr>
              <w:t xml:space="preserve">1年以内 </w:t>
            </w:r>
          </w:p>
        </w:tc>
        <w:tc>
          <w:tcPr>
            <w:tcW w:w="1425" w:type="dxa"/>
            <w:vAlign w:val="center"/>
          </w:tcPr>
          <w:p>
            <w:pPr>
              <w:widowControl/>
              <w:jc w:val="right"/>
              <w:textAlignment w:val="center"/>
              <w:rPr>
                <w:rFonts w:ascii="Arial" w:hAnsi="Arial" w:cs="Arial"/>
                <w:color w:val="000000"/>
                <w:kern w:val="0"/>
                <w:sz w:val="18"/>
                <w:szCs w:val="18"/>
                <w:lang w:bidi="ar"/>
              </w:rPr>
            </w:pPr>
            <w:r>
              <w:rPr>
                <w:rFonts w:ascii="Arial" w:hAnsi="Arial" w:cs="Arial"/>
                <w:color w:val="000000"/>
                <w:kern w:val="0"/>
                <w:sz w:val="18"/>
                <w:szCs w:val="18"/>
                <w:lang w:bidi="ar"/>
              </w:rPr>
              <w:t xml:space="preserve"> 9.47 </w:t>
            </w:r>
          </w:p>
        </w:tc>
        <w:tc>
          <w:tcPr>
            <w:tcW w:w="1423" w:type="dxa"/>
            <w:vAlign w:val="center"/>
          </w:tcPr>
          <w:p>
            <w:pPr>
              <w:widowControl/>
              <w:textAlignment w:val="center"/>
              <w:rPr>
                <w:rFonts w:ascii="Arial" w:hAnsi="Arial" w:cs="Arial"/>
                <w:color w:val="000000"/>
                <w:kern w:val="0"/>
                <w:sz w:val="18"/>
                <w:szCs w:val="18"/>
                <w:lang w:bidi="ar"/>
              </w:rPr>
            </w:pPr>
            <w:r>
              <w:rPr>
                <w:rFonts w:ascii="Arial" w:hAnsi="Arial" w:cs="Arial"/>
                <w:color w:val="000000"/>
                <w:kern w:val="0"/>
                <w:sz w:val="18"/>
                <w:szCs w:val="18"/>
                <w:lang w:bidi="ar"/>
              </w:rPr>
              <w:t xml:space="preserve"> 26.00 </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772" w:type="dxa"/>
            <w:vAlign w:val="center"/>
          </w:tcPr>
          <w:p>
            <w:pPr>
              <w:widowControl/>
              <w:textAlignment w:val="center"/>
              <w:rPr>
                <w:color w:val="000000"/>
                <w:kern w:val="0"/>
                <w:sz w:val="18"/>
                <w:szCs w:val="18"/>
                <w:lang w:bidi="ar"/>
              </w:rPr>
            </w:pPr>
            <w:r>
              <w:rPr>
                <w:color w:val="000000"/>
                <w:kern w:val="0"/>
                <w:sz w:val="18"/>
                <w:szCs w:val="18"/>
                <w:lang w:bidi="ar"/>
              </w:rPr>
              <w:t>谭常德</w:t>
            </w:r>
          </w:p>
        </w:tc>
        <w:tc>
          <w:tcPr>
            <w:tcW w:w="1425" w:type="dxa"/>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 xml:space="preserve"> 借款 </w:t>
            </w:r>
          </w:p>
        </w:tc>
        <w:tc>
          <w:tcPr>
            <w:tcW w:w="1425" w:type="dxa"/>
            <w:vAlign w:val="center"/>
          </w:tcPr>
          <w:p>
            <w:pPr>
              <w:widowControl/>
              <w:jc w:val="right"/>
              <w:textAlignment w:val="center"/>
              <w:rPr>
                <w:rFonts w:ascii="Arial" w:hAnsi="Arial" w:cs="Arial"/>
                <w:color w:val="000000"/>
                <w:kern w:val="0"/>
                <w:sz w:val="18"/>
                <w:szCs w:val="18"/>
                <w:lang w:bidi="ar"/>
              </w:rPr>
            </w:pPr>
            <w:r>
              <w:rPr>
                <w:rFonts w:ascii="Arial" w:hAnsi="Arial" w:cs="Arial"/>
                <w:color w:val="000000"/>
                <w:kern w:val="0"/>
                <w:sz w:val="18"/>
                <w:szCs w:val="18"/>
                <w:lang w:bidi="ar"/>
              </w:rPr>
              <w:t xml:space="preserve"> 4,318.35 </w:t>
            </w:r>
          </w:p>
        </w:tc>
        <w:tc>
          <w:tcPr>
            <w:tcW w:w="1250" w:type="dxa"/>
            <w:vAlign w:val="center"/>
          </w:tcPr>
          <w:p>
            <w:pPr>
              <w:widowControl/>
              <w:jc w:val="center"/>
              <w:textAlignment w:val="center"/>
              <w:rPr>
                <w:rFonts w:ascii="Arial" w:hAnsi="Arial" w:cs="Arial"/>
                <w:color w:val="000000"/>
                <w:kern w:val="0"/>
                <w:sz w:val="18"/>
                <w:szCs w:val="18"/>
                <w:lang w:bidi="ar"/>
              </w:rPr>
            </w:pPr>
            <w:r>
              <w:rPr>
                <w:rStyle w:val="83"/>
                <w:lang w:bidi="ar"/>
              </w:rPr>
              <w:t xml:space="preserve"> </w:t>
            </w:r>
            <w:r>
              <w:rPr>
                <w:rFonts w:hint="eastAsia" w:ascii="宋体" w:hAnsi="宋体" w:cs="宋体"/>
                <w:color w:val="000000"/>
                <w:kern w:val="0"/>
                <w:sz w:val="18"/>
                <w:szCs w:val="18"/>
                <w:lang w:bidi="ar"/>
              </w:rPr>
              <w:t>1</w:t>
            </w:r>
            <w:r>
              <w:rPr>
                <w:rFonts w:ascii="Arial" w:hAnsi="Arial" w:cs="Arial"/>
                <w:color w:val="000000"/>
                <w:kern w:val="0"/>
                <w:sz w:val="18"/>
                <w:szCs w:val="18"/>
                <w:lang w:bidi="ar"/>
              </w:rPr>
              <w:t xml:space="preserve">年以内 </w:t>
            </w:r>
          </w:p>
        </w:tc>
        <w:tc>
          <w:tcPr>
            <w:tcW w:w="1425" w:type="dxa"/>
            <w:vAlign w:val="center"/>
          </w:tcPr>
          <w:p>
            <w:pPr>
              <w:widowControl/>
              <w:jc w:val="right"/>
              <w:textAlignment w:val="center"/>
              <w:rPr>
                <w:rFonts w:ascii="Arial" w:hAnsi="Arial" w:cs="Arial"/>
                <w:color w:val="000000"/>
                <w:kern w:val="0"/>
                <w:sz w:val="18"/>
                <w:szCs w:val="18"/>
                <w:lang w:bidi="ar"/>
              </w:rPr>
            </w:pPr>
            <w:r>
              <w:rPr>
                <w:rFonts w:ascii="Arial" w:hAnsi="Arial" w:cs="Arial"/>
                <w:color w:val="000000"/>
                <w:kern w:val="0"/>
                <w:sz w:val="18"/>
                <w:szCs w:val="18"/>
                <w:lang w:bidi="ar"/>
              </w:rPr>
              <w:t xml:space="preserve"> 7.86 </w:t>
            </w:r>
          </w:p>
        </w:tc>
        <w:tc>
          <w:tcPr>
            <w:tcW w:w="1423" w:type="dxa"/>
            <w:vAlign w:val="center"/>
          </w:tcPr>
          <w:p>
            <w:pPr>
              <w:widowControl/>
              <w:textAlignment w:val="center"/>
              <w:rPr>
                <w:rFonts w:ascii="Arial" w:hAnsi="Arial" w:cs="Arial"/>
                <w:color w:val="000000"/>
                <w:kern w:val="0"/>
                <w:sz w:val="18"/>
                <w:szCs w:val="18"/>
                <w:lang w:bidi="ar"/>
              </w:rPr>
            </w:pPr>
            <w:r>
              <w:rPr>
                <w:rFonts w:ascii="Arial" w:hAnsi="Arial" w:cs="Arial"/>
                <w:color w:val="000000"/>
                <w:kern w:val="0"/>
                <w:sz w:val="18"/>
                <w:szCs w:val="18"/>
                <w:lang w:bidi="ar"/>
              </w:rPr>
              <w:t xml:space="preserve"> 21.59 </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772" w:type="dxa"/>
            <w:vAlign w:val="center"/>
          </w:tcPr>
          <w:p>
            <w:pPr>
              <w:widowControl/>
              <w:textAlignment w:val="center"/>
              <w:rPr>
                <w:color w:val="000000"/>
                <w:kern w:val="0"/>
                <w:sz w:val="18"/>
                <w:szCs w:val="18"/>
                <w:lang w:bidi="ar"/>
              </w:rPr>
            </w:pPr>
            <w:r>
              <w:rPr>
                <w:color w:val="000000"/>
                <w:kern w:val="0"/>
                <w:sz w:val="18"/>
                <w:szCs w:val="18"/>
                <w:lang w:bidi="ar"/>
              </w:rPr>
              <w:t>谢潇敏</w:t>
            </w:r>
          </w:p>
        </w:tc>
        <w:tc>
          <w:tcPr>
            <w:tcW w:w="1425" w:type="dxa"/>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 xml:space="preserve"> 借款 </w:t>
            </w:r>
          </w:p>
        </w:tc>
        <w:tc>
          <w:tcPr>
            <w:tcW w:w="1425" w:type="dxa"/>
            <w:vAlign w:val="center"/>
          </w:tcPr>
          <w:p>
            <w:pPr>
              <w:widowControl/>
              <w:jc w:val="right"/>
              <w:textAlignment w:val="center"/>
              <w:rPr>
                <w:rFonts w:ascii="Arial" w:hAnsi="Arial" w:cs="Arial"/>
                <w:color w:val="000000"/>
                <w:kern w:val="0"/>
                <w:sz w:val="18"/>
                <w:szCs w:val="18"/>
                <w:lang w:bidi="ar"/>
              </w:rPr>
            </w:pPr>
            <w:r>
              <w:rPr>
                <w:rFonts w:ascii="Arial" w:hAnsi="Arial" w:cs="Arial"/>
                <w:color w:val="000000"/>
                <w:kern w:val="0"/>
                <w:sz w:val="18"/>
                <w:szCs w:val="18"/>
                <w:lang w:bidi="ar"/>
              </w:rPr>
              <w:t xml:space="preserve"> 834.00 </w:t>
            </w:r>
          </w:p>
        </w:tc>
        <w:tc>
          <w:tcPr>
            <w:tcW w:w="1250" w:type="dxa"/>
            <w:vAlign w:val="center"/>
          </w:tcPr>
          <w:p>
            <w:pPr>
              <w:widowControl/>
              <w:jc w:val="center"/>
              <w:textAlignment w:val="center"/>
              <w:rPr>
                <w:rFonts w:ascii="Arial" w:hAnsi="Arial" w:cs="Arial"/>
                <w:color w:val="000000"/>
                <w:kern w:val="0"/>
                <w:sz w:val="18"/>
                <w:szCs w:val="18"/>
                <w:lang w:bidi="ar"/>
              </w:rPr>
            </w:pPr>
            <w:r>
              <w:rPr>
                <w:rStyle w:val="83"/>
                <w:lang w:bidi="ar"/>
              </w:rPr>
              <w:t xml:space="preserve"> </w:t>
            </w:r>
            <w:r>
              <w:rPr>
                <w:rFonts w:hint="eastAsia" w:ascii="宋体" w:hAnsi="宋体" w:cs="宋体"/>
                <w:color w:val="000000"/>
                <w:kern w:val="0"/>
                <w:sz w:val="18"/>
                <w:szCs w:val="18"/>
                <w:lang w:bidi="ar"/>
              </w:rPr>
              <w:t xml:space="preserve">1年以内 </w:t>
            </w:r>
          </w:p>
        </w:tc>
        <w:tc>
          <w:tcPr>
            <w:tcW w:w="1425" w:type="dxa"/>
            <w:vAlign w:val="center"/>
          </w:tcPr>
          <w:p>
            <w:pPr>
              <w:widowControl/>
              <w:jc w:val="right"/>
              <w:textAlignment w:val="center"/>
              <w:rPr>
                <w:rFonts w:ascii="Arial" w:hAnsi="Arial" w:cs="Arial"/>
                <w:color w:val="000000"/>
                <w:kern w:val="0"/>
                <w:sz w:val="18"/>
                <w:szCs w:val="18"/>
                <w:lang w:bidi="ar"/>
              </w:rPr>
            </w:pPr>
            <w:r>
              <w:rPr>
                <w:rFonts w:ascii="Arial" w:hAnsi="Arial" w:cs="Arial"/>
                <w:color w:val="000000"/>
                <w:kern w:val="0"/>
                <w:sz w:val="18"/>
                <w:szCs w:val="18"/>
                <w:lang w:bidi="ar"/>
              </w:rPr>
              <w:t xml:space="preserve"> 1.52 </w:t>
            </w:r>
          </w:p>
        </w:tc>
        <w:tc>
          <w:tcPr>
            <w:tcW w:w="1423" w:type="dxa"/>
            <w:vAlign w:val="center"/>
          </w:tcPr>
          <w:p>
            <w:pPr>
              <w:widowControl/>
              <w:textAlignment w:val="center"/>
              <w:rPr>
                <w:rFonts w:ascii="Arial" w:hAnsi="Arial" w:cs="Arial"/>
                <w:color w:val="000000"/>
                <w:kern w:val="0"/>
                <w:sz w:val="18"/>
                <w:szCs w:val="18"/>
                <w:lang w:bidi="ar"/>
              </w:rPr>
            </w:pPr>
            <w:r>
              <w:rPr>
                <w:rFonts w:ascii="Arial" w:hAnsi="Arial" w:cs="Arial"/>
                <w:color w:val="000000"/>
                <w:kern w:val="0"/>
                <w:sz w:val="18"/>
                <w:szCs w:val="18"/>
                <w:lang w:bidi="ar"/>
              </w:rPr>
              <w:t xml:space="preserve"> 4.17 </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772" w:type="dxa"/>
            <w:tcBorders>
              <w:bottom w:val="single" w:color="auto" w:sz="12" w:space="0"/>
            </w:tcBorders>
            <w:vAlign w:val="center"/>
          </w:tcPr>
          <w:p>
            <w:pPr>
              <w:widowControl/>
              <w:jc w:val="center"/>
              <w:textAlignment w:val="center"/>
              <w:rPr>
                <w:rFonts w:ascii="宋体" w:hAnsi="宋体" w:cs="Arial Narrow"/>
                <w:snapToGrid w:val="0"/>
                <w:kern w:val="0"/>
                <w:sz w:val="18"/>
                <w:szCs w:val="18"/>
              </w:rPr>
            </w:pPr>
            <w:r>
              <w:rPr>
                <w:rFonts w:hint="eastAsia" w:ascii="宋体" w:hAnsi="宋体" w:cs="宋体"/>
                <w:color w:val="000000"/>
                <w:kern w:val="0"/>
                <w:sz w:val="18"/>
                <w:szCs w:val="18"/>
                <w:lang w:bidi="ar"/>
              </w:rPr>
              <w:t>合    计</w:t>
            </w:r>
          </w:p>
        </w:tc>
        <w:tc>
          <w:tcPr>
            <w:tcW w:w="1425" w:type="dxa"/>
            <w:tcBorders>
              <w:bottom w:val="single" w:color="auto" w:sz="12" w:space="0"/>
            </w:tcBorders>
            <w:vAlign w:val="center"/>
          </w:tcPr>
          <w:p>
            <w:pPr>
              <w:jc w:val="right"/>
              <w:rPr>
                <w:rFonts w:ascii="Arial Narrow" w:hAnsi="Arial Narrow" w:cs="Arial Narrow"/>
                <w:snapToGrid w:val="0"/>
                <w:kern w:val="0"/>
                <w:sz w:val="18"/>
                <w:szCs w:val="18"/>
              </w:rPr>
            </w:pPr>
          </w:p>
        </w:tc>
        <w:tc>
          <w:tcPr>
            <w:tcW w:w="1425" w:type="dxa"/>
            <w:tcBorders>
              <w:bottom w:val="single" w:color="auto" w:sz="12" w:space="0"/>
            </w:tcBorders>
            <w:vAlign w:val="center"/>
          </w:tcPr>
          <w:p>
            <w:pPr>
              <w:widowControl/>
              <w:jc w:val="right"/>
              <w:textAlignment w:val="center"/>
              <w:rPr>
                <w:rFonts w:ascii="Arial Narrow" w:hAnsi="Arial Narrow" w:cs="Arial Narrow"/>
                <w:snapToGrid w:val="0"/>
                <w:kern w:val="0"/>
                <w:sz w:val="18"/>
                <w:szCs w:val="18"/>
              </w:rPr>
            </w:pPr>
            <w:r>
              <w:rPr>
                <w:rFonts w:ascii="Arial" w:hAnsi="Arial" w:cs="Arial"/>
                <w:color w:val="000000"/>
                <w:kern w:val="0"/>
                <w:sz w:val="18"/>
                <w:szCs w:val="18"/>
                <w:lang w:bidi="ar"/>
              </w:rPr>
              <w:t xml:space="preserve"> 54,412.35 </w:t>
            </w:r>
          </w:p>
        </w:tc>
        <w:tc>
          <w:tcPr>
            <w:tcW w:w="1250" w:type="dxa"/>
            <w:tcBorders>
              <w:bottom w:val="single" w:color="auto" w:sz="12" w:space="0"/>
            </w:tcBorders>
            <w:vAlign w:val="center"/>
          </w:tcPr>
          <w:p>
            <w:pPr>
              <w:jc w:val="center"/>
              <w:rPr>
                <w:rFonts w:ascii="Arial Narrow" w:hAnsi="Arial Narrow" w:cs="Arial Narrow"/>
                <w:snapToGrid w:val="0"/>
                <w:kern w:val="0"/>
                <w:sz w:val="18"/>
                <w:szCs w:val="18"/>
              </w:rPr>
            </w:pPr>
          </w:p>
        </w:tc>
        <w:tc>
          <w:tcPr>
            <w:tcW w:w="1425" w:type="dxa"/>
            <w:tcBorders>
              <w:bottom w:val="single" w:color="auto" w:sz="12" w:space="0"/>
            </w:tcBorders>
            <w:vAlign w:val="center"/>
          </w:tcPr>
          <w:p>
            <w:pPr>
              <w:widowControl/>
              <w:jc w:val="right"/>
              <w:textAlignment w:val="center"/>
              <w:rPr>
                <w:rFonts w:ascii="Arial Narrow" w:hAnsi="Arial Narrow" w:cs="Arial Narrow"/>
                <w:snapToGrid w:val="0"/>
                <w:kern w:val="0"/>
                <w:sz w:val="18"/>
                <w:szCs w:val="18"/>
              </w:rPr>
            </w:pPr>
            <w:r>
              <w:rPr>
                <w:rFonts w:ascii="Arial" w:hAnsi="Arial" w:cs="Arial"/>
                <w:color w:val="000000"/>
                <w:kern w:val="0"/>
                <w:sz w:val="18"/>
                <w:szCs w:val="18"/>
                <w:lang w:bidi="ar"/>
              </w:rPr>
              <w:t xml:space="preserve"> 99.09 </w:t>
            </w:r>
          </w:p>
        </w:tc>
        <w:tc>
          <w:tcPr>
            <w:tcW w:w="1423" w:type="dxa"/>
            <w:tcBorders>
              <w:bottom w:val="single" w:color="auto" w:sz="12" w:space="0"/>
            </w:tcBorders>
            <w:vAlign w:val="center"/>
          </w:tcPr>
          <w:p>
            <w:pPr>
              <w:widowControl/>
              <w:textAlignment w:val="center"/>
              <w:rPr>
                <w:rFonts w:ascii="Arial Narrow" w:hAnsi="Arial Narrow" w:cs="Arial Narrow"/>
                <w:snapToGrid w:val="0"/>
                <w:kern w:val="0"/>
                <w:sz w:val="18"/>
                <w:szCs w:val="18"/>
              </w:rPr>
            </w:pPr>
            <w:r>
              <w:rPr>
                <w:rFonts w:ascii="Arial" w:hAnsi="Arial" w:cs="Arial"/>
                <w:color w:val="000000"/>
                <w:kern w:val="0"/>
                <w:sz w:val="18"/>
                <w:szCs w:val="18"/>
                <w:lang w:bidi="ar"/>
              </w:rPr>
              <w:t xml:space="preserve"> 272.06 </w:t>
            </w:r>
          </w:p>
        </w:tc>
      </w:tr>
    </w:tbl>
    <w:p>
      <w:pPr>
        <w:pStyle w:val="15"/>
        <w:numPr>
          <w:ilvl w:val="0"/>
          <w:numId w:val="6"/>
        </w:numPr>
        <w:tabs>
          <w:tab w:val="left" w:pos="426"/>
          <w:tab w:val="left" w:pos="851"/>
          <w:tab w:val="left" w:pos="1134"/>
        </w:tabs>
        <w:snapToGrid w:val="0"/>
        <w:spacing w:line="460" w:lineRule="atLeast"/>
        <w:ind w:left="840"/>
        <w:outlineLvl w:val="1"/>
        <w:rPr>
          <w:rFonts w:hAnsi="宋体" w:cs="Times New Roman"/>
          <w:bCs/>
          <w:snapToGrid w:val="0"/>
          <w:kern w:val="0"/>
        </w:rPr>
      </w:pPr>
      <w:r>
        <w:rPr>
          <w:rFonts w:hint="eastAsia" w:hAnsi="宋体" w:cs="Times New Roman"/>
          <w:bCs/>
          <w:snapToGrid w:val="0"/>
          <w:kern w:val="0"/>
        </w:rPr>
        <w:t>固定资产</w:t>
      </w:r>
    </w:p>
    <w:p>
      <w:pPr>
        <w:spacing w:after="156" w:afterLines="50" w:line="460" w:lineRule="atLeast"/>
        <w:ind w:firstLine="420" w:firstLineChars="200"/>
        <w:rPr>
          <w:rFonts w:ascii="宋体" w:hAnsi="宋体" w:cs="Arial"/>
        </w:rPr>
      </w:pPr>
      <w:r>
        <w:rPr>
          <w:rFonts w:hint="eastAsia"/>
        </w:rPr>
        <w:t>1、固定资产情况</w:t>
      </w:r>
    </w:p>
    <w:tbl>
      <w:tblPr>
        <w:tblStyle w:val="32"/>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76"/>
        <w:gridCol w:w="1418"/>
        <w:gridCol w:w="1276"/>
        <w:gridCol w:w="1125"/>
        <w:gridCol w:w="1338"/>
        <w:gridCol w:w="12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blHeader/>
        </w:trPr>
        <w:tc>
          <w:tcPr>
            <w:tcW w:w="2376" w:type="dxa"/>
            <w:tcBorders>
              <w:top w:val="single" w:color="auto" w:sz="12" w:space="0"/>
              <w:left w:val="nil"/>
            </w:tcBorders>
            <w:vAlign w:val="center"/>
          </w:tcPr>
          <w:p>
            <w:pPr>
              <w:jc w:val="center"/>
              <w:rPr>
                <w:kern w:val="0"/>
                <w:sz w:val="18"/>
                <w:szCs w:val="18"/>
              </w:rPr>
            </w:pPr>
            <w:r>
              <w:rPr>
                <w:rFonts w:hint="eastAsia"/>
                <w:kern w:val="0"/>
                <w:sz w:val="18"/>
                <w:szCs w:val="18"/>
              </w:rPr>
              <w:t>项目</w:t>
            </w:r>
          </w:p>
        </w:tc>
        <w:tc>
          <w:tcPr>
            <w:tcW w:w="1418" w:type="dxa"/>
            <w:tcBorders>
              <w:top w:val="single" w:color="auto" w:sz="12" w:space="0"/>
            </w:tcBorders>
            <w:vAlign w:val="center"/>
          </w:tcPr>
          <w:p>
            <w:pPr>
              <w:jc w:val="center"/>
              <w:rPr>
                <w:rFonts w:ascii="宋体" w:hAnsi="宋体"/>
                <w:sz w:val="18"/>
                <w:szCs w:val="18"/>
              </w:rPr>
            </w:pPr>
            <w:r>
              <w:rPr>
                <w:rFonts w:hint="eastAsia" w:ascii="宋体" w:hAnsi="宋体" w:cs="宋体"/>
                <w:sz w:val="18"/>
                <w:szCs w:val="18"/>
              </w:rPr>
              <w:t>房屋及建筑物</w:t>
            </w:r>
          </w:p>
        </w:tc>
        <w:tc>
          <w:tcPr>
            <w:tcW w:w="1276" w:type="dxa"/>
            <w:tcBorders>
              <w:top w:val="single" w:color="auto" w:sz="12" w:space="0"/>
            </w:tcBorders>
            <w:vAlign w:val="center"/>
          </w:tcPr>
          <w:p>
            <w:pPr>
              <w:jc w:val="center"/>
              <w:rPr>
                <w:kern w:val="0"/>
                <w:sz w:val="18"/>
                <w:szCs w:val="18"/>
              </w:rPr>
            </w:pPr>
            <w:r>
              <w:rPr>
                <w:rFonts w:hint="eastAsia" w:ascii="宋体" w:hAnsi="宋体" w:cs="宋体"/>
                <w:sz w:val="18"/>
                <w:szCs w:val="18"/>
              </w:rPr>
              <w:t>机器设备</w:t>
            </w:r>
          </w:p>
        </w:tc>
        <w:tc>
          <w:tcPr>
            <w:tcW w:w="1125" w:type="dxa"/>
            <w:tcBorders>
              <w:top w:val="single" w:color="auto" w:sz="12" w:space="0"/>
            </w:tcBorders>
            <w:vAlign w:val="center"/>
          </w:tcPr>
          <w:p>
            <w:pPr>
              <w:jc w:val="center"/>
              <w:rPr>
                <w:kern w:val="0"/>
                <w:sz w:val="18"/>
                <w:szCs w:val="18"/>
              </w:rPr>
            </w:pPr>
            <w:r>
              <w:rPr>
                <w:rFonts w:hint="eastAsia" w:ascii="宋体" w:hAnsi="宋体" w:cs="宋体"/>
                <w:sz w:val="18"/>
                <w:szCs w:val="18"/>
              </w:rPr>
              <w:t>运输工具</w:t>
            </w:r>
          </w:p>
        </w:tc>
        <w:tc>
          <w:tcPr>
            <w:tcW w:w="1338" w:type="dxa"/>
            <w:tcBorders>
              <w:top w:val="single" w:color="auto" w:sz="12" w:space="0"/>
            </w:tcBorders>
            <w:vAlign w:val="center"/>
          </w:tcPr>
          <w:p>
            <w:pPr>
              <w:jc w:val="center"/>
              <w:rPr>
                <w:kern w:val="0"/>
                <w:sz w:val="18"/>
                <w:szCs w:val="18"/>
              </w:rPr>
            </w:pPr>
            <w:r>
              <w:rPr>
                <w:rFonts w:hint="eastAsia"/>
                <w:kern w:val="0"/>
                <w:sz w:val="18"/>
                <w:szCs w:val="18"/>
              </w:rPr>
              <w:t>办公</w:t>
            </w:r>
            <w:r>
              <w:rPr>
                <w:kern w:val="0"/>
                <w:sz w:val="18"/>
                <w:szCs w:val="18"/>
              </w:rPr>
              <w:t>及</w:t>
            </w:r>
            <w:r>
              <w:rPr>
                <w:rFonts w:hint="eastAsia"/>
                <w:kern w:val="0"/>
                <w:sz w:val="18"/>
                <w:szCs w:val="18"/>
              </w:rPr>
              <w:t>电子设备</w:t>
            </w:r>
          </w:p>
        </w:tc>
        <w:tc>
          <w:tcPr>
            <w:tcW w:w="1222" w:type="dxa"/>
            <w:tcBorders>
              <w:top w:val="single" w:color="auto" w:sz="12" w:space="0"/>
              <w:right w:val="nil"/>
            </w:tcBorders>
            <w:vAlign w:val="center"/>
          </w:tcPr>
          <w:p>
            <w:pPr>
              <w:jc w:val="center"/>
              <w:rPr>
                <w:kern w:val="0"/>
                <w:sz w:val="18"/>
                <w:szCs w:val="18"/>
              </w:rPr>
            </w:pPr>
            <w:r>
              <w:rPr>
                <w:rFonts w:hint="eastAsia"/>
                <w:kern w:val="0"/>
                <w:sz w:val="18"/>
                <w:szCs w:val="18"/>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blHeader/>
        </w:trPr>
        <w:tc>
          <w:tcPr>
            <w:tcW w:w="2376" w:type="dxa"/>
            <w:tcBorders>
              <w:left w:val="nil"/>
            </w:tcBorders>
          </w:tcPr>
          <w:p>
            <w:pPr>
              <w:rPr>
                <w:sz w:val="18"/>
                <w:szCs w:val="18"/>
              </w:rPr>
            </w:pPr>
            <w:r>
              <w:rPr>
                <w:rFonts w:hint="eastAsia"/>
                <w:sz w:val="18"/>
                <w:szCs w:val="18"/>
              </w:rPr>
              <w:t>一、账面原值</w:t>
            </w:r>
          </w:p>
        </w:tc>
        <w:tc>
          <w:tcPr>
            <w:tcW w:w="1418" w:type="dxa"/>
          </w:tcPr>
          <w:p>
            <w:pPr>
              <w:jc w:val="right"/>
              <w:rPr>
                <w:rFonts w:ascii="Arial Narrow" w:hAnsi="Arial Narrow"/>
                <w:sz w:val="18"/>
                <w:szCs w:val="18"/>
              </w:rPr>
            </w:pPr>
          </w:p>
        </w:tc>
        <w:tc>
          <w:tcPr>
            <w:tcW w:w="1276" w:type="dxa"/>
          </w:tcPr>
          <w:p>
            <w:pPr>
              <w:jc w:val="right"/>
              <w:rPr>
                <w:rFonts w:ascii="Arial Narrow" w:hAnsi="Arial Narrow"/>
                <w:sz w:val="18"/>
                <w:szCs w:val="18"/>
              </w:rPr>
            </w:pPr>
          </w:p>
        </w:tc>
        <w:tc>
          <w:tcPr>
            <w:tcW w:w="1125" w:type="dxa"/>
          </w:tcPr>
          <w:p>
            <w:pPr>
              <w:jc w:val="right"/>
              <w:rPr>
                <w:rFonts w:ascii="Arial Narrow" w:hAnsi="Arial Narrow"/>
                <w:sz w:val="18"/>
                <w:szCs w:val="18"/>
              </w:rPr>
            </w:pPr>
          </w:p>
        </w:tc>
        <w:tc>
          <w:tcPr>
            <w:tcW w:w="1338" w:type="dxa"/>
            <w:vAlign w:val="center"/>
          </w:tcPr>
          <w:p>
            <w:pPr>
              <w:widowControl/>
              <w:jc w:val="right"/>
              <w:textAlignment w:val="center"/>
              <w:rPr>
                <w:rFonts w:ascii="Arial" w:hAnsi="Arial" w:cs="Arial"/>
                <w:sz w:val="18"/>
                <w:szCs w:val="18"/>
              </w:rPr>
            </w:pPr>
            <w:r>
              <w:rPr>
                <w:rFonts w:ascii="Arial" w:hAnsi="Arial" w:cs="Arial"/>
                <w:color w:val="000000"/>
                <w:kern w:val="0"/>
                <w:sz w:val="18"/>
                <w:szCs w:val="18"/>
                <w:lang w:bidi="ar"/>
              </w:rPr>
              <w:t>　</w:t>
            </w:r>
          </w:p>
        </w:tc>
        <w:tc>
          <w:tcPr>
            <w:tcW w:w="1222" w:type="dxa"/>
            <w:tcBorders>
              <w:right w:val="nil"/>
            </w:tcBorders>
            <w:vAlign w:val="center"/>
          </w:tcPr>
          <w:p>
            <w:pPr>
              <w:widowControl/>
              <w:jc w:val="right"/>
              <w:textAlignment w:val="center"/>
              <w:rPr>
                <w:rFonts w:ascii="Arial" w:hAnsi="Arial" w:cs="Arial"/>
                <w:sz w:val="18"/>
                <w:szCs w:val="18"/>
              </w:rPr>
            </w:pPr>
            <w:r>
              <w:rPr>
                <w:rFonts w:ascii="Arial" w:hAnsi="Arial" w:cs="Arial"/>
                <w:color w:val="000000"/>
                <w:kern w:val="0"/>
                <w:sz w:val="18"/>
                <w:szCs w:val="18"/>
                <w:lang w:bidi="ar"/>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blHeader/>
        </w:trPr>
        <w:tc>
          <w:tcPr>
            <w:tcW w:w="2376" w:type="dxa"/>
            <w:tcBorders>
              <w:left w:val="nil"/>
            </w:tcBorders>
          </w:tcPr>
          <w:p>
            <w:pPr>
              <w:ind w:firstLine="360" w:firstLineChars="200"/>
              <w:rPr>
                <w:kern w:val="0"/>
                <w:sz w:val="18"/>
                <w:szCs w:val="18"/>
              </w:rPr>
            </w:pPr>
            <w:r>
              <w:rPr>
                <w:kern w:val="0"/>
                <w:sz w:val="18"/>
                <w:szCs w:val="18"/>
              </w:rPr>
              <w:t>1.</w:t>
            </w:r>
            <w:r>
              <w:rPr>
                <w:rFonts w:hint="eastAsia"/>
                <w:kern w:val="0"/>
                <w:sz w:val="18"/>
                <w:szCs w:val="18"/>
              </w:rPr>
              <w:t>期初余额</w:t>
            </w:r>
          </w:p>
        </w:tc>
        <w:tc>
          <w:tcPr>
            <w:tcW w:w="1418" w:type="dxa"/>
            <w:vAlign w:val="center"/>
          </w:tcPr>
          <w:p>
            <w:pPr>
              <w:jc w:val="right"/>
              <w:rPr>
                <w:rFonts w:ascii="Arial Narrow" w:hAnsi="Arial Narrow"/>
                <w:color w:val="000000"/>
                <w:sz w:val="18"/>
                <w:szCs w:val="18"/>
              </w:rPr>
            </w:pPr>
          </w:p>
        </w:tc>
        <w:tc>
          <w:tcPr>
            <w:tcW w:w="1276" w:type="dxa"/>
            <w:vAlign w:val="center"/>
          </w:tcPr>
          <w:p>
            <w:pPr>
              <w:jc w:val="right"/>
              <w:rPr>
                <w:rFonts w:ascii="Arial Narrow" w:hAnsi="Arial Narrow"/>
                <w:color w:val="000000"/>
                <w:sz w:val="18"/>
                <w:szCs w:val="18"/>
              </w:rPr>
            </w:pPr>
          </w:p>
        </w:tc>
        <w:tc>
          <w:tcPr>
            <w:tcW w:w="1125" w:type="dxa"/>
            <w:vAlign w:val="center"/>
          </w:tcPr>
          <w:p>
            <w:pPr>
              <w:jc w:val="right"/>
              <w:rPr>
                <w:rFonts w:ascii="Arial Narrow" w:hAnsi="Arial Narrow"/>
                <w:color w:val="000000"/>
                <w:sz w:val="18"/>
                <w:szCs w:val="18"/>
              </w:rPr>
            </w:pPr>
          </w:p>
        </w:tc>
        <w:tc>
          <w:tcPr>
            <w:tcW w:w="1338" w:type="dxa"/>
            <w:vAlign w:val="center"/>
          </w:tcPr>
          <w:p>
            <w:pPr>
              <w:widowControl/>
              <w:jc w:val="right"/>
              <w:textAlignment w:val="center"/>
              <w:rPr>
                <w:rFonts w:ascii="Arial" w:hAnsi="Arial" w:cs="Arial"/>
                <w:color w:val="000000"/>
                <w:sz w:val="18"/>
                <w:szCs w:val="18"/>
              </w:rPr>
            </w:pPr>
            <w:r>
              <w:rPr>
                <w:rFonts w:ascii="Arial" w:hAnsi="Arial" w:cs="Arial"/>
                <w:color w:val="000000"/>
                <w:kern w:val="0"/>
                <w:sz w:val="18"/>
                <w:szCs w:val="18"/>
                <w:lang w:bidi="ar"/>
              </w:rPr>
              <w:t xml:space="preserve"> 24,613.59 </w:t>
            </w:r>
          </w:p>
        </w:tc>
        <w:tc>
          <w:tcPr>
            <w:tcW w:w="1222" w:type="dxa"/>
            <w:tcBorders>
              <w:right w:val="nil"/>
            </w:tcBorders>
            <w:vAlign w:val="center"/>
          </w:tcPr>
          <w:p>
            <w:pPr>
              <w:widowControl/>
              <w:jc w:val="right"/>
              <w:textAlignment w:val="center"/>
              <w:rPr>
                <w:rFonts w:ascii="Arial" w:hAnsi="Arial" w:cs="Arial"/>
                <w:color w:val="000000"/>
                <w:sz w:val="18"/>
                <w:szCs w:val="18"/>
              </w:rPr>
            </w:pPr>
            <w:r>
              <w:rPr>
                <w:rFonts w:ascii="Arial" w:hAnsi="Arial" w:cs="Arial"/>
                <w:color w:val="000000"/>
                <w:kern w:val="0"/>
                <w:sz w:val="18"/>
                <w:szCs w:val="18"/>
                <w:lang w:bidi="ar"/>
              </w:rPr>
              <w:t xml:space="preserve"> 24,613.59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blHeader/>
        </w:trPr>
        <w:tc>
          <w:tcPr>
            <w:tcW w:w="2376" w:type="dxa"/>
            <w:tcBorders>
              <w:left w:val="nil"/>
            </w:tcBorders>
          </w:tcPr>
          <w:p>
            <w:pPr>
              <w:ind w:firstLine="360" w:firstLineChars="200"/>
              <w:rPr>
                <w:kern w:val="0"/>
                <w:sz w:val="18"/>
                <w:szCs w:val="18"/>
              </w:rPr>
            </w:pPr>
            <w:r>
              <w:rPr>
                <w:kern w:val="0"/>
                <w:sz w:val="18"/>
                <w:szCs w:val="18"/>
              </w:rPr>
              <w:t>2.</w:t>
            </w:r>
            <w:r>
              <w:rPr>
                <w:rFonts w:hint="eastAsia"/>
                <w:kern w:val="0"/>
                <w:sz w:val="18"/>
                <w:szCs w:val="18"/>
              </w:rPr>
              <w:t>本期增加金额</w:t>
            </w:r>
          </w:p>
        </w:tc>
        <w:tc>
          <w:tcPr>
            <w:tcW w:w="1418" w:type="dxa"/>
            <w:vAlign w:val="center"/>
          </w:tcPr>
          <w:p>
            <w:pPr>
              <w:jc w:val="right"/>
              <w:rPr>
                <w:rFonts w:ascii="Arial Narrow" w:hAnsi="Arial Narrow"/>
                <w:color w:val="000000"/>
                <w:sz w:val="18"/>
                <w:szCs w:val="18"/>
              </w:rPr>
            </w:pPr>
          </w:p>
        </w:tc>
        <w:tc>
          <w:tcPr>
            <w:tcW w:w="1276" w:type="dxa"/>
            <w:vAlign w:val="center"/>
          </w:tcPr>
          <w:p>
            <w:pPr>
              <w:jc w:val="right"/>
              <w:rPr>
                <w:rFonts w:ascii="Arial Narrow" w:hAnsi="Arial Narrow"/>
                <w:color w:val="000000"/>
                <w:sz w:val="18"/>
                <w:szCs w:val="18"/>
              </w:rPr>
            </w:pPr>
          </w:p>
        </w:tc>
        <w:tc>
          <w:tcPr>
            <w:tcW w:w="1125" w:type="dxa"/>
            <w:vAlign w:val="center"/>
          </w:tcPr>
          <w:p>
            <w:pPr>
              <w:jc w:val="right"/>
              <w:rPr>
                <w:rFonts w:ascii="Arial Narrow" w:hAnsi="Arial Narrow"/>
                <w:color w:val="000000"/>
                <w:sz w:val="18"/>
                <w:szCs w:val="18"/>
              </w:rPr>
            </w:pPr>
          </w:p>
        </w:tc>
        <w:tc>
          <w:tcPr>
            <w:tcW w:w="1338" w:type="dxa"/>
            <w:vAlign w:val="center"/>
          </w:tcPr>
          <w:p>
            <w:pPr>
              <w:jc w:val="right"/>
              <w:rPr>
                <w:rFonts w:ascii="Arial" w:hAnsi="Arial" w:cs="Arial"/>
                <w:color w:val="000000"/>
                <w:sz w:val="18"/>
                <w:szCs w:val="18"/>
              </w:rPr>
            </w:pPr>
            <w:r>
              <w:rPr>
                <w:rFonts w:ascii="Arial" w:hAnsi="Arial" w:cs="Arial"/>
                <w:color w:val="000000"/>
                <w:sz w:val="18"/>
                <w:szCs w:val="18"/>
              </w:rPr>
              <w:t>5,367.52</w:t>
            </w:r>
          </w:p>
        </w:tc>
        <w:tc>
          <w:tcPr>
            <w:tcW w:w="1222" w:type="dxa"/>
            <w:tcBorders>
              <w:right w:val="nil"/>
            </w:tcBorders>
            <w:vAlign w:val="center"/>
          </w:tcPr>
          <w:p>
            <w:pPr>
              <w:widowControl/>
              <w:jc w:val="right"/>
              <w:textAlignment w:val="center"/>
              <w:rPr>
                <w:rFonts w:ascii="Arial" w:hAnsi="Arial" w:cs="Arial"/>
                <w:color w:val="000000"/>
                <w:sz w:val="18"/>
                <w:szCs w:val="18"/>
              </w:rPr>
            </w:pPr>
            <w:r>
              <w:rPr>
                <w:rFonts w:ascii="Arial" w:hAnsi="Arial" w:cs="Arial"/>
                <w:color w:val="000000"/>
                <w:kern w:val="0"/>
                <w:sz w:val="18"/>
                <w:szCs w:val="18"/>
                <w:lang w:bidi="ar"/>
              </w:rPr>
              <w:t xml:space="preserve"> </w:t>
            </w:r>
            <w:r>
              <w:rPr>
                <w:rFonts w:ascii="Arial" w:hAnsi="Arial" w:cs="Arial"/>
                <w:color w:val="000000"/>
                <w:sz w:val="18"/>
                <w:szCs w:val="18"/>
              </w:rPr>
              <w:t>5,367.52</w:t>
            </w:r>
            <w:r>
              <w:rPr>
                <w:rFonts w:ascii="Arial" w:hAnsi="Arial" w:cs="Arial"/>
                <w:color w:val="000000"/>
                <w:kern w:val="0"/>
                <w:sz w:val="18"/>
                <w:szCs w:val="18"/>
                <w:lang w:bidi="a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blHeader/>
        </w:trPr>
        <w:tc>
          <w:tcPr>
            <w:tcW w:w="2376" w:type="dxa"/>
            <w:tcBorders>
              <w:left w:val="nil"/>
            </w:tcBorders>
          </w:tcPr>
          <w:p>
            <w:pPr>
              <w:ind w:firstLine="360" w:firstLineChars="200"/>
              <w:rPr>
                <w:kern w:val="0"/>
                <w:sz w:val="18"/>
                <w:szCs w:val="18"/>
              </w:rPr>
            </w:pPr>
            <w:r>
              <w:rPr>
                <w:rFonts w:hint="eastAsia"/>
                <w:kern w:val="0"/>
                <w:sz w:val="18"/>
                <w:szCs w:val="18"/>
              </w:rPr>
              <w:t>（1）购置</w:t>
            </w:r>
          </w:p>
        </w:tc>
        <w:tc>
          <w:tcPr>
            <w:tcW w:w="1418" w:type="dxa"/>
            <w:vAlign w:val="center"/>
          </w:tcPr>
          <w:p>
            <w:pPr>
              <w:jc w:val="right"/>
              <w:rPr>
                <w:rFonts w:ascii="Arial Narrow" w:hAnsi="Arial Narrow"/>
                <w:color w:val="000000"/>
                <w:sz w:val="18"/>
                <w:szCs w:val="18"/>
              </w:rPr>
            </w:pPr>
          </w:p>
        </w:tc>
        <w:tc>
          <w:tcPr>
            <w:tcW w:w="1276" w:type="dxa"/>
            <w:vAlign w:val="center"/>
          </w:tcPr>
          <w:p>
            <w:pPr>
              <w:jc w:val="right"/>
              <w:rPr>
                <w:rFonts w:ascii="Arial Narrow" w:hAnsi="Arial Narrow"/>
                <w:color w:val="000000"/>
                <w:sz w:val="18"/>
                <w:szCs w:val="18"/>
              </w:rPr>
            </w:pPr>
          </w:p>
        </w:tc>
        <w:tc>
          <w:tcPr>
            <w:tcW w:w="1125" w:type="dxa"/>
            <w:vAlign w:val="center"/>
          </w:tcPr>
          <w:p>
            <w:pPr>
              <w:jc w:val="right"/>
              <w:rPr>
                <w:rFonts w:ascii="Arial Narrow" w:hAnsi="Arial Narrow"/>
                <w:color w:val="000000"/>
                <w:sz w:val="18"/>
                <w:szCs w:val="18"/>
              </w:rPr>
            </w:pPr>
          </w:p>
        </w:tc>
        <w:tc>
          <w:tcPr>
            <w:tcW w:w="1338" w:type="dxa"/>
            <w:vAlign w:val="center"/>
          </w:tcPr>
          <w:p>
            <w:pPr>
              <w:jc w:val="right"/>
              <w:rPr>
                <w:rFonts w:ascii="Arial" w:hAnsi="Arial" w:cs="Arial"/>
                <w:color w:val="000000"/>
                <w:sz w:val="18"/>
                <w:szCs w:val="18"/>
              </w:rPr>
            </w:pPr>
            <w:r>
              <w:rPr>
                <w:rFonts w:ascii="Arial" w:hAnsi="Arial" w:cs="Arial"/>
                <w:color w:val="000000"/>
                <w:sz w:val="18"/>
                <w:szCs w:val="18"/>
              </w:rPr>
              <w:t>5,367.52</w:t>
            </w:r>
          </w:p>
        </w:tc>
        <w:tc>
          <w:tcPr>
            <w:tcW w:w="1222" w:type="dxa"/>
            <w:tcBorders>
              <w:right w:val="nil"/>
            </w:tcBorders>
            <w:vAlign w:val="center"/>
          </w:tcPr>
          <w:p>
            <w:pPr>
              <w:widowControl/>
              <w:jc w:val="right"/>
              <w:textAlignment w:val="center"/>
              <w:rPr>
                <w:rFonts w:ascii="Arial" w:hAnsi="Arial" w:cs="Arial"/>
                <w:color w:val="000000"/>
                <w:sz w:val="18"/>
                <w:szCs w:val="18"/>
              </w:rPr>
            </w:pPr>
            <w:r>
              <w:rPr>
                <w:rFonts w:ascii="Arial" w:hAnsi="Arial" w:cs="Arial"/>
                <w:color w:val="000000"/>
                <w:kern w:val="0"/>
                <w:sz w:val="18"/>
                <w:szCs w:val="18"/>
                <w:lang w:bidi="ar"/>
              </w:rPr>
              <w:t xml:space="preserve"> </w:t>
            </w:r>
            <w:r>
              <w:rPr>
                <w:rFonts w:ascii="Arial" w:hAnsi="Arial" w:cs="Arial"/>
                <w:color w:val="000000"/>
                <w:sz w:val="18"/>
                <w:szCs w:val="18"/>
              </w:rPr>
              <w:t>5,367.52</w:t>
            </w:r>
            <w:r>
              <w:rPr>
                <w:rFonts w:ascii="Arial" w:hAnsi="Arial" w:cs="Arial"/>
                <w:color w:val="000000"/>
                <w:kern w:val="0"/>
                <w:sz w:val="18"/>
                <w:szCs w:val="18"/>
                <w:lang w:bidi="a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blHeader/>
        </w:trPr>
        <w:tc>
          <w:tcPr>
            <w:tcW w:w="2376" w:type="dxa"/>
            <w:tcBorders>
              <w:left w:val="nil"/>
            </w:tcBorders>
          </w:tcPr>
          <w:p>
            <w:pPr>
              <w:ind w:firstLine="360" w:firstLineChars="200"/>
              <w:rPr>
                <w:kern w:val="0"/>
                <w:sz w:val="18"/>
                <w:szCs w:val="18"/>
              </w:rPr>
            </w:pPr>
            <w:r>
              <w:rPr>
                <w:rFonts w:hint="eastAsia"/>
                <w:kern w:val="0"/>
                <w:sz w:val="18"/>
                <w:szCs w:val="18"/>
              </w:rPr>
              <w:t>（2）在建工程转入</w:t>
            </w:r>
          </w:p>
        </w:tc>
        <w:tc>
          <w:tcPr>
            <w:tcW w:w="1418" w:type="dxa"/>
            <w:vAlign w:val="center"/>
          </w:tcPr>
          <w:p>
            <w:pPr>
              <w:jc w:val="right"/>
              <w:rPr>
                <w:rFonts w:ascii="Arial Narrow" w:hAnsi="Arial Narrow"/>
                <w:color w:val="000000"/>
                <w:sz w:val="18"/>
                <w:szCs w:val="18"/>
              </w:rPr>
            </w:pPr>
          </w:p>
        </w:tc>
        <w:tc>
          <w:tcPr>
            <w:tcW w:w="1276" w:type="dxa"/>
            <w:vAlign w:val="center"/>
          </w:tcPr>
          <w:p>
            <w:pPr>
              <w:jc w:val="right"/>
              <w:rPr>
                <w:rFonts w:ascii="Arial Narrow" w:hAnsi="Arial Narrow"/>
                <w:color w:val="000000"/>
                <w:sz w:val="18"/>
                <w:szCs w:val="18"/>
              </w:rPr>
            </w:pPr>
          </w:p>
        </w:tc>
        <w:tc>
          <w:tcPr>
            <w:tcW w:w="1125" w:type="dxa"/>
            <w:vAlign w:val="center"/>
          </w:tcPr>
          <w:p>
            <w:pPr>
              <w:jc w:val="right"/>
              <w:rPr>
                <w:rFonts w:ascii="Arial Narrow" w:hAnsi="Arial Narrow"/>
                <w:color w:val="000000"/>
                <w:sz w:val="18"/>
                <w:szCs w:val="18"/>
              </w:rPr>
            </w:pPr>
          </w:p>
        </w:tc>
        <w:tc>
          <w:tcPr>
            <w:tcW w:w="1338" w:type="dxa"/>
            <w:vAlign w:val="center"/>
          </w:tcPr>
          <w:p>
            <w:pPr>
              <w:jc w:val="right"/>
              <w:rPr>
                <w:rFonts w:ascii="Arial" w:hAnsi="Arial" w:cs="Arial"/>
                <w:color w:val="000000"/>
                <w:sz w:val="18"/>
                <w:szCs w:val="18"/>
              </w:rPr>
            </w:pPr>
          </w:p>
        </w:tc>
        <w:tc>
          <w:tcPr>
            <w:tcW w:w="1222" w:type="dxa"/>
            <w:tcBorders>
              <w:right w:val="nil"/>
            </w:tcBorders>
            <w:vAlign w:val="center"/>
          </w:tcPr>
          <w:p>
            <w:pPr>
              <w:widowControl/>
              <w:jc w:val="right"/>
              <w:textAlignment w:val="center"/>
              <w:rPr>
                <w:rFonts w:ascii="Arial" w:hAnsi="Arial" w:cs="Arial"/>
                <w:color w:val="000000"/>
                <w:sz w:val="18"/>
                <w:szCs w:val="18"/>
              </w:rPr>
            </w:pPr>
            <w:r>
              <w:rPr>
                <w:rFonts w:ascii="Arial" w:hAnsi="Arial" w:cs="Arial"/>
                <w:color w:val="000000"/>
                <w:kern w:val="0"/>
                <w:sz w:val="18"/>
                <w:szCs w:val="18"/>
                <w:lang w:bidi="ar"/>
              </w:rPr>
              <w:t xml:space="preserve">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blHeader/>
        </w:trPr>
        <w:tc>
          <w:tcPr>
            <w:tcW w:w="2376" w:type="dxa"/>
            <w:tcBorders>
              <w:left w:val="nil"/>
            </w:tcBorders>
          </w:tcPr>
          <w:p>
            <w:pPr>
              <w:ind w:firstLine="450" w:firstLineChars="250"/>
              <w:rPr>
                <w:kern w:val="0"/>
                <w:sz w:val="18"/>
                <w:szCs w:val="18"/>
              </w:rPr>
            </w:pPr>
            <w:r>
              <w:rPr>
                <w:rFonts w:hint="eastAsia"/>
                <w:kern w:val="0"/>
                <w:sz w:val="18"/>
                <w:szCs w:val="18"/>
              </w:rPr>
              <w:t>3.本期减少金额</w:t>
            </w:r>
          </w:p>
        </w:tc>
        <w:tc>
          <w:tcPr>
            <w:tcW w:w="1418" w:type="dxa"/>
            <w:vAlign w:val="center"/>
          </w:tcPr>
          <w:p>
            <w:pPr>
              <w:jc w:val="right"/>
              <w:rPr>
                <w:rFonts w:ascii="Arial Narrow" w:hAnsi="Arial Narrow"/>
                <w:color w:val="000000"/>
                <w:sz w:val="18"/>
                <w:szCs w:val="18"/>
              </w:rPr>
            </w:pPr>
          </w:p>
        </w:tc>
        <w:tc>
          <w:tcPr>
            <w:tcW w:w="1276" w:type="dxa"/>
            <w:vAlign w:val="center"/>
          </w:tcPr>
          <w:p>
            <w:pPr>
              <w:jc w:val="right"/>
              <w:rPr>
                <w:rFonts w:ascii="Arial Narrow" w:hAnsi="Arial Narrow"/>
                <w:color w:val="000000"/>
                <w:sz w:val="18"/>
                <w:szCs w:val="18"/>
              </w:rPr>
            </w:pPr>
          </w:p>
        </w:tc>
        <w:tc>
          <w:tcPr>
            <w:tcW w:w="1125" w:type="dxa"/>
            <w:vAlign w:val="center"/>
          </w:tcPr>
          <w:p>
            <w:pPr>
              <w:jc w:val="right"/>
              <w:rPr>
                <w:rFonts w:ascii="Arial Narrow" w:hAnsi="Arial Narrow"/>
                <w:color w:val="000000"/>
                <w:sz w:val="18"/>
                <w:szCs w:val="18"/>
              </w:rPr>
            </w:pPr>
          </w:p>
        </w:tc>
        <w:tc>
          <w:tcPr>
            <w:tcW w:w="1338" w:type="dxa"/>
            <w:vAlign w:val="center"/>
          </w:tcPr>
          <w:p>
            <w:pPr>
              <w:jc w:val="right"/>
              <w:rPr>
                <w:rFonts w:ascii="Arial" w:hAnsi="Arial" w:cs="Arial"/>
                <w:color w:val="000000"/>
                <w:sz w:val="18"/>
                <w:szCs w:val="18"/>
              </w:rPr>
            </w:pPr>
          </w:p>
        </w:tc>
        <w:tc>
          <w:tcPr>
            <w:tcW w:w="1222" w:type="dxa"/>
            <w:tcBorders>
              <w:right w:val="nil"/>
            </w:tcBorders>
            <w:vAlign w:val="center"/>
          </w:tcPr>
          <w:p>
            <w:pPr>
              <w:widowControl/>
              <w:jc w:val="right"/>
              <w:textAlignment w:val="center"/>
              <w:rPr>
                <w:rFonts w:ascii="Arial" w:hAnsi="Arial" w:cs="Arial"/>
                <w:color w:val="000000"/>
                <w:sz w:val="18"/>
                <w:szCs w:val="18"/>
              </w:rPr>
            </w:pPr>
            <w:r>
              <w:rPr>
                <w:rFonts w:ascii="Arial" w:hAnsi="Arial" w:cs="Arial"/>
                <w:color w:val="000000"/>
                <w:kern w:val="0"/>
                <w:sz w:val="18"/>
                <w:szCs w:val="18"/>
                <w:lang w:bidi="ar"/>
              </w:rPr>
              <w:t xml:space="preserve">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blHeader/>
        </w:trPr>
        <w:tc>
          <w:tcPr>
            <w:tcW w:w="2376" w:type="dxa"/>
            <w:tcBorders>
              <w:left w:val="nil"/>
            </w:tcBorders>
          </w:tcPr>
          <w:p>
            <w:pPr>
              <w:ind w:firstLine="360" w:firstLineChars="200"/>
              <w:rPr>
                <w:kern w:val="0"/>
                <w:sz w:val="18"/>
                <w:szCs w:val="18"/>
              </w:rPr>
            </w:pPr>
            <w:r>
              <w:rPr>
                <w:rFonts w:hint="eastAsia"/>
                <w:kern w:val="0"/>
                <w:sz w:val="18"/>
                <w:szCs w:val="18"/>
              </w:rPr>
              <w:t>（1）处置或报废</w:t>
            </w:r>
          </w:p>
        </w:tc>
        <w:tc>
          <w:tcPr>
            <w:tcW w:w="1418" w:type="dxa"/>
            <w:vAlign w:val="center"/>
          </w:tcPr>
          <w:p>
            <w:pPr>
              <w:jc w:val="right"/>
              <w:rPr>
                <w:rFonts w:ascii="Arial Narrow" w:hAnsi="Arial Narrow"/>
                <w:color w:val="000000"/>
                <w:sz w:val="18"/>
                <w:szCs w:val="18"/>
              </w:rPr>
            </w:pPr>
          </w:p>
        </w:tc>
        <w:tc>
          <w:tcPr>
            <w:tcW w:w="1276" w:type="dxa"/>
            <w:vAlign w:val="center"/>
          </w:tcPr>
          <w:p>
            <w:pPr>
              <w:jc w:val="right"/>
              <w:rPr>
                <w:rFonts w:ascii="Arial Narrow" w:hAnsi="Arial Narrow"/>
                <w:color w:val="000000"/>
                <w:sz w:val="18"/>
                <w:szCs w:val="18"/>
              </w:rPr>
            </w:pPr>
          </w:p>
        </w:tc>
        <w:tc>
          <w:tcPr>
            <w:tcW w:w="1125" w:type="dxa"/>
            <w:vAlign w:val="center"/>
          </w:tcPr>
          <w:p>
            <w:pPr>
              <w:jc w:val="right"/>
              <w:rPr>
                <w:rFonts w:ascii="Arial Narrow" w:hAnsi="Arial Narrow"/>
                <w:color w:val="000000"/>
                <w:sz w:val="18"/>
                <w:szCs w:val="18"/>
              </w:rPr>
            </w:pPr>
          </w:p>
        </w:tc>
        <w:tc>
          <w:tcPr>
            <w:tcW w:w="1338" w:type="dxa"/>
            <w:vAlign w:val="center"/>
          </w:tcPr>
          <w:p>
            <w:pPr>
              <w:widowControl/>
              <w:jc w:val="right"/>
              <w:textAlignment w:val="center"/>
              <w:rPr>
                <w:rFonts w:ascii="Arial" w:hAnsi="Arial" w:cs="Arial"/>
                <w:color w:val="000000"/>
                <w:sz w:val="18"/>
                <w:szCs w:val="18"/>
              </w:rPr>
            </w:pPr>
            <w:r>
              <w:rPr>
                <w:rFonts w:ascii="Arial" w:hAnsi="Arial" w:cs="Arial"/>
                <w:color w:val="000000"/>
                <w:kern w:val="0"/>
                <w:sz w:val="18"/>
                <w:szCs w:val="18"/>
                <w:lang w:bidi="ar"/>
              </w:rPr>
              <w:t xml:space="preserve"> </w:t>
            </w:r>
          </w:p>
        </w:tc>
        <w:tc>
          <w:tcPr>
            <w:tcW w:w="1222" w:type="dxa"/>
            <w:tcBorders>
              <w:right w:val="nil"/>
            </w:tcBorders>
            <w:vAlign w:val="center"/>
          </w:tcPr>
          <w:p>
            <w:pPr>
              <w:widowControl/>
              <w:jc w:val="right"/>
              <w:textAlignment w:val="center"/>
              <w:rPr>
                <w:rFonts w:ascii="Arial" w:hAnsi="Arial" w:cs="Arial"/>
                <w:color w:val="000000"/>
                <w:sz w:val="18"/>
                <w:szCs w:val="18"/>
              </w:rPr>
            </w:pPr>
            <w:r>
              <w:rPr>
                <w:rFonts w:ascii="Arial" w:hAnsi="Arial" w:cs="Arial"/>
                <w:color w:val="000000"/>
                <w:kern w:val="0"/>
                <w:sz w:val="18"/>
                <w:szCs w:val="18"/>
                <w:lang w:bidi="a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blHeader/>
        </w:trPr>
        <w:tc>
          <w:tcPr>
            <w:tcW w:w="2376" w:type="dxa"/>
            <w:tcBorders>
              <w:left w:val="nil"/>
            </w:tcBorders>
          </w:tcPr>
          <w:p>
            <w:pPr>
              <w:ind w:firstLine="450" w:firstLineChars="250"/>
              <w:rPr>
                <w:kern w:val="0"/>
                <w:sz w:val="18"/>
                <w:szCs w:val="18"/>
              </w:rPr>
            </w:pPr>
            <w:r>
              <w:rPr>
                <w:rFonts w:hint="eastAsia"/>
                <w:kern w:val="0"/>
                <w:sz w:val="18"/>
                <w:szCs w:val="18"/>
              </w:rPr>
              <w:t>(2)转入投资性房地产</w:t>
            </w:r>
          </w:p>
        </w:tc>
        <w:tc>
          <w:tcPr>
            <w:tcW w:w="1418" w:type="dxa"/>
            <w:vAlign w:val="center"/>
          </w:tcPr>
          <w:p>
            <w:pPr>
              <w:jc w:val="right"/>
              <w:rPr>
                <w:rFonts w:ascii="Arial Narrow" w:hAnsi="Arial Narrow"/>
                <w:color w:val="000000"/>
                <w:sz w:val="18"/>
                <w:szCs w:val="18"/>
              </w:rPr>
            </w:pPr>
          </w:p>
        </w:tc>
        <w:tc>
          <w:tcPr>
            <w:tcW w:w="1276" w:type="dxa"/>
            <w:vAlign w:val="center"/>
          </w:tcPr>
          <w:p>
            <w:pPr>
              <w:jc w:val="right"/>
              <w:rPr>
                <w:rFonts w:ascii="Arial Narrow" w:hAnsi="Arial Narrow"/>
                <w:color w:val="000000"/>
                <w:sz w:val="18"/>
                <w:szCs w:val="18"/>
              </w:rPr>
            </w:pPr>
          </w:p>
        </w:tc>
        <w:tc>
          <w:tcPr>
            <w:tcW w:w="1125" w:type="dxa"/>
            <w:vAlign w:val="center"/>
          </w:tcPr>
          <w:p>
            <w:pPr>
              <w:jc w:val="right"/>
              <w:rPr>
                <w:rFonts w:ascii="Arial Narrow" w:hAnsi="Arial Narrow"/>
                <w:color w:val="000000"/>
                <w:sz w:val="18"/>
                <w:szCs w:val="18"/>
              </w:rPr>
            </w:pPr>
          </w:p>
        </w:tc>
        <w:tc>
          <w:tcPr>
            <w:tcW w:w="1338" w:type="dxa"/>
            <w:vAlign w:val="center"/>
          </w:tcPr>
          <w:p>
            <w:pPr>
              <w:jc w:val="right"/>
              <w:rPr>
                <w:rFonts w:ascii="Arial" w:hAnsi="Arial" w:cs="Arial"/>
                <w:color w:val="000000"/>
                <w:sz w:val="18"/>
                <w:szCs w:val="18"/>
              </w:rPr>
            </w:pPr>
          </w:p>
        </w:tc>
        <w:tc>
          <w:tcPr>
            <w:tcW w:w="1222" w:type="dxa"/>
            <w:tcBorders>
              <w:right w:val="nil"/>
            </w:tcBorders>
            <w:vAlign w:val="center"/>
          </w:tcPr>
          <w:p>
            <w:pPr>
              <w:widowControl/>
              <w:jc w:val="right"/>
              <w:textAlignment w:val="center"/>
              <w:rPr>
                <w:rFonts w:ascii="Arial" w:hAnsi="Arial" w:cs="Arial"/>
                <w:color w:val="000000"/>
                <w:sz w:val="18"/>
                <w:szCs w:val="18"/>
              </w:rPr>
            </w:pPr>
            <w:r>
              <w:rPr>
                <w:rFonts w:ascii="Arial" w:hAnsi="Arial" w:cs="Arial"/>
                <w:color w:val="000000"/>
                <w:kern w:val="0"/>
                <w:sz w:val="18"/>
                <w:szCs w:val="18"/>
                <w:lang w:bidi="ar"/>
              </w:rPr>
              <w:t xml:space="preserve">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blHeader/>
        </w:trPr>
        <w:tc>
          <w:tcPr>
            <w:tcW w:w="2376" w:type="dxa"/>
            <w:tcBorders>
              <w:left w:val="nil"/>
            </w:tcBorders>
          </w:tcPr>
          <w:p>
            <w:pPr>
              <w:ind w:firstLine="360" w:firstLineChars="200"/>
              <w:rPr>
                <w:sz w:val="18"/>
                <w:szCs w:val="18"/>
              </w:rPr>
            </w:pPr>
            <w:r>
              <w:rPr>
                <w:rFonts w:hint="eastAsia"/>
                <w:sz w:val="18"/>
                <w:szCs w:val="18"/>
              </w:rPr>
              <w:t>4.期末余额</w:t>
            </w:r>
          </w:p>
        </w:tc>
        <w:tc>
          <w:tcPr>
            <w:tcW w:w="1418" w:type="dxa"/>
            <w:vAlign w:val="center"/>
          </w:tcPr>
          <w:p>
            <w:pPr>
              <w:jc w:val="right"/>
              <w:rPr>
                <w:rFonts w:ascii="Arial Narrow" w:hAnsi="Arial Narrow"/>
                <w:color w:val="000000"/>
                <w:sz w:val="18"/>
                <w:szCs w:val="18"/>
              </w:rPr>
            </w:pPr>
          </w:p>
        </w:tc>
        <w:tc>
          <w:tcPr>
            <w:tcW w:w="1276" w:type="dxa"/>
            <w:vAlign w:val="center"/>
          </w:tcPr>
          <w:p>
            <w:pPr>
              <w:jc w:val="right"/>
              <w:rPr>
                <w:rFonts w:ascii="Arial Narrow" w:hAnsi="Arial Narrow"/>
                <w:color w:val="000000"/>
                <w:sz w:val="18"/>
                <w:szCs w:val="18"/>
              </w:rPr>
            </w:pPr>
          </w:p>
        </w:tc>
        <w:tc>
          <w:tcPr>
            <w:tcW w:w="1125" w:type="dxa"/>
            <w:vAlign w:val="center"/>
          </w:tcPr>
          <w:p>
            <w:pPr>
              <w:jc w:val="right"/>
              <w:rPr>
                <w:rFonts w:ascii="Arial Narrow" w:hAnsi="Arial Narrow"/>
                <w:color w:val="000000"/>
                <w:sz w:val="18"/>
                <w:szCs w:val="18"/>
              </w:rPr>
            </w:pPr>
          </w:p>
        </w:tc>
        <w:tc>
          <w:tcPr>
            <w:tcW w:w="1338" w:type="dxa"/>
            <w:vAlign w:val="center"/>
          </w:tcPr>
          <w:p>
            <w:pPr>
              <w:widowControl/>
              <w:jc w:val="right"/>
              <w:textAlignment w:val="center"/>
              <w:rPr>
                <w:rFonts w:ascii="Arial" w:hAnsi="Arial" w:cs="Arial"/>
                <w:color w:val="000000"/>
                <w:sz w:val="18"/>
                <w:szCs w:val="18"/>
              </w:rPr>
            </w:pPr>
            <w:r>
              <w:rPr>
                <w:rFonts w:ascii="Arial" w:hAnsi="Arial" w:cs="Arial"/>
                <w:color w:val="000000"/>
                <w:kern w:val="0"/>
                <w:sz w:val="18"/>
                <w:szCs w:val="18"/>
                <w:lang w:bidi="ar"/>
              </w:rPr>
              <w:t xml:space="preserve"> 29,981.11 </w:t>
            </w:r>
          </w:p>
        </w:tc>
        <w:tc>
          <w:tcPr>
            <w:tcW w:w="1222" w:type="dxa"/>
            <w:tcBorders>
              <w:right w:val="nil"/>
            </w:tcBorders>
            <w:vAlign w:val="center"/>
          </w:tcPr>
          <w:p>
            <w:pPr>
              <w:widowControl/>
              <w:jc w:val="right"/>
              <w:textAlignment w:val="center"/>
              <w:rPr>
                <w:rFonts w:ascii="Arial" w:hAnsi="Arial" w:cs="Arial"/>
                <w:color w:val="000000"/>
                <w:sz w:val="18"/>
                <w:szCs w:val="18"/>
              </w:rPr>
            </w:pPr>
            <w:r>
              <w:rPr>
                <w:rFonts w:ascii="Arial" w:hAnsi="Arial" w:cs="Arial"/>
                <w:color w:val="000000"/>
                <w:kern w:val="0"/>
                <w:sz w:val="18"/>
                <w:szCs w:val="18"/>
                <w:lang w:bidi="ar"/>
              </w:rPr>
              <w:t xml:space="preserve"> 29,981.11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blHeader/>
        </w:trPr>
        <w:tc>
          <w:tcPr>
            <w:tcW w:w="2376" w:type="dxa"/>
            <w:tcBorders>
              <w:left w:val="nil"/>
            </w:tcBorders>
          </w:tcPr>
          <w:p>
            <w:pPr>
              <w:rPr>
                <w:sz w:val="18"/>
                <w:szCs w:val="18"/>
              </w:rPr>
            </w:pPr>
            <w:r>
              <w:rPr>
                <w:rFonts w:hint="eastAsia"/>
                <w:sz w:val="18"/>
                <w:szCs w:val="18"/>
              </w:rPr>
              <w:t>二、累计折旧</w:t>
            </w:r>
          </w:p>
        </w:tc>
        <w:tc>
          <w:tcPr>
            <w:tcW w:w="1418" w:type="dxa"/>
            <w:vAlign w:val="center"/>
          </w:tcPr>
          <w:p>
            <w:pPr>
              <w:jc w:val="right"/>
              <w:rPr>
                <w:rFonts w:ascii="Arial Narrow" w:hAnsi="Arial Narrow"/>
                <w:color w:val="000000"/>
                <w:sz w:val="18"/>
                <w:szCs w:val="18"/>
              </w:rPr>
            </w:pPr>
          </w:p>
        </w:tc>
        <w:tc>
          <w:tcPr>
            <w:tcW w:w="1276" w:type="dxa"/>
            <w:vAlign w:val="center"/>
          </w:tcPr>
          <w:p>
            <w:pPr>
              <w:jc w:val="right"/>
              <w:rPr>
                <w:rFonts w:ascii="Arial Narrow" w:hAnsi="Arial Narrow"/>
                <w:color w:val="000000"/>
                <w:sz w:val="18"/>
                <w:szCs w:val="18"/>
              </w:rPr>
            </w:pPr>
          </w:p>
        </w:tc>
        <w:tc>
          <w:tcPr>
            <w:tcW w:w="1125" w:type="dxa"/>
            <w:vAlign w:val="center"/>
          </w:tcPr>
          <w:p>
            <w:pPr>
              <w:jc w:val="right"/>
              <w:rPr>
                <w:rFonts w:ascii="Arial Narrow" w:hAnsi="Arial Narrow"/>
                <w:color w:val="000000"/>
                <w:sz w:val="18"/>
                <w:szCs w:val="18"/>
              </w:rPr>
            </w:pPr>
          </w:p>
        </w:tc>
        <w:tc>
          <w:tcPr>
            <w:tcW w:w="1338" w:type="dxa"/>
            <w:vAlign w:val="center"/>
          </w:tcPr>
          <w:p>
            <w:pPr>
              <w:jc w:val="right"/>
              <w:rPr>
                <w:rFonts w:ascii="Arial" w:hAnsi="Arial" w:cs="Arial"/>
                <w:color w:val="000000"/>
                <w:sz w:val="18"/>
                <w:szCs w:val="18"/>
              </w:rPr>
            </w:pPr>
          </w:p>
        </w:tc>
        <w:tc>
          <w:tcPr>
            <w:tcW w:w="1222" w:type="dxa"/>
            <w:tcBorders>
              <w:right w:val="nil"/>
            </w:tcBorders>
            <w:vAlign w:val="center"/>
          </w:tcPr>
          <w:p>
            <w:pPr>
              <w:widowControl/>
              <w:jc w:val="right"/>
              <w:textAlignment w:val="center"/>
              <w:rPr>
                <w:rFonts w:ascii="Arial" w:hAnsi="Arial" w:cs="Arial"/>
                <w:color w:val="000000"/>
                <w:sz w:val="18"/>
                <w:szCs w:val="18"/>
              </w:rPr>
            </w:pPr>
            <w:r>
              <w:rPr>
                <w:rFonts w:ascii="Arial" w:hAnsi="Arial" w:cs="Arial"/>
                <w:color w:val="000000"/>
                <w:kern w:val="0"/>
                <w:sz w:val="18"/>
                <w:szCs w:val="18"/>
                <w:lang w:bidi="ar"/>
              </w:rPr>
              <w:t xml:space="preserve">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blHeader/>
        </w:trPr>
        <w:tc>
          <w:tcPr>
            <w:tcW w:w="2376" w:type="dxa"/>
            <w:tcBorders>
              <w:left w:val="nil"/>
            </w:tcBorders>
          </w:tcPr>
          <w:p>
            <w:pPr>
              <w:ind w:firstLine="360" w:firstLineChars="200"/>
              <w:rPr>
                <w:kern w:val="0"/>
                <w:sz w:val="18"/>
                <w:szCs w:val="18"/>
              </w:rPr>
            </w:pPr>
            <w:r>
              <w:rPr>
                <w:kern w:val="0"/>
                <w:sz w:val="18"/>
                <w:szCs w:val="18"/>
              </w:rPr>
              <w:t>1.</w:t>
            </w:r>
            <w:r>
              <w:rPr>
                <w:rFonts w:hint="eastAsia"/>
                <w:kern w:val="0"/>
                <w:sz w:val="18"/>
                <w:szCs w:val="18"/>
              </w:rPr>
              <w:t>期初余额</w:t>
            </w:r>
          </w:p>
        </w:tc>
        <w:tc>
          <w:tcPr>
            <w:tcW w:w="1418" w:type="dxa"/>
            <w:vAlign w:val="center"/>
          </w:tcPr>
          <w:p>
            <w:pPr>
              <w:jc w:val="right"/>
              <w:rPr>
                <w:rFonts w:ascii="Arial Narrow" w:hAnsi="Arial Narrow"/>
                <w:color w:val="000000"/>
                <w:sz w:val="18"/>
                <w:szCs w:val="18"/>
              </w:rPr>
            </w:pPr>
          </w:p>
        </w:tc>
        <w:tc>
          <w:tcPr>
            <w:tcW w:w="1276" w:type="dxa"/>
            <w:vAlign w:val="center"/>
          </w:tcPr>
          <w:p>
            <w:pPr>
              <w:jc w:val="right"/>
              <w:rPr>
                <w:rFonts w:ascii="Arial Narrow" w:hAnsi="Arial Narrow"/>
                <w:color w:val="000000"/>
                <w:sz w:val="18"/>
                <w:szCs w:val="18"/>
              </w:rPr>
            </w:pPr>
          </w:p>
        </w:tc>
        <w:tc>
          <w:tcPr>
            <w:tcW w:w="1125" w:type="dxa"/>
            <w:vAlign w:val="center"/>
          </w:tcPr>
          <w:p>
            <w:pPr>
              <w:jc w:val="right"/>
              <w:rPr>
                <w:rFonts w:ascii="Arial Narrow" w:hAnsi="Arial Narrow"/>
                <w:color w:val="000000"/>
                <w:sz w:val="18"/>
                <w:szCs w:val="18"/>
              </w:rPr>
            </w:pPr>
          </w:p>
        </w:tc>
        <w:tc>
          <w:tcPr>
            <w:tcW w:w="1338" w:type="dxa"/>
            <w:vAlign w:val="center"/>
          </w:tcPr>
          <w:p>
            <w:pPr>
              <w:widowControl/>
              <w:jc w:val="right"/>
              <w:textAlignment w:val="center"/>
              <w:rPr>
                <w:rFonts w:ascii="Arial" w:hAnsi="Arial" w:cs="Arial"/>
                <w:color w:val="000000"/>
                <w:sz w:val="18"/>
                <w:szCs w:val="18"/>
              </w:rPr>
            </w:pPr>
            <w:r>
              <w:rPr>
                <w:rFonts w:ascii="Arial" w:hAnsi="Arial" w:cs="Arial"/>
                <w:color w:val="000000"/>
                <w:kern w:val="0"/>
                <w:sz w:val="18"/>
                <w:szCs w:val="18"/>
                <w:lang w:bidi="ar"/>
              </w:rPr>
              <w:t xml:space="preserve"> 9,241.84 </w:t>
            </w:r>
          </w:p>
        </w:tc>
        <w:tc>
          <w:tcPr>
            <w:tcW w:w="1222" w:type="dxa"/>
            <w:tcBorders>
              <w:right w:val="nil"/>
            </w:tcBorders>
            <w:vAlign w:val="center"/>
          </w:tcPr>
          <w:p>
            <w:pPr>
              <w:widowControl/>
              <w:jc w:val="right"/>
              <w:textAlignment w:val="center"/>
              <w:rPr>
                <w:rFonts w:ascii="Arial" w:hAnsi="Arial" w:cs="Arial"/>
                <w:color w:val="000000"/>
                <w:sz w:val="18"/>
                <w:szCs w:val="18"/>
              </w:rPr>
            </w:pPr>
            <w:r>
              <w:rPr>
                <w:rFonts w:ascii="Arial" w:hAnsi="Arial" w:cs="Arial"/>
                <w:color w:val="000000"/>
                <w:kern w:val="0"/>
                <w:sz w:val="18"/>
                <w:szCs w:val="18"/>
                <w:lang w:bidi="ar"/>
              </w:rPr>
              <w:t xml:space="preserve"> 9,241.84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blHeader/>
        </w:trPr>
        <w:tc>
          <w:tcPr>
            <w:tcW w:w="2376" w:type="dxa"/>
            <w:tcBorders>
              <w:left w:val="nil"/>
            </w:tcBorders>
          </w:tcPr>
          <w:p>
            <w:pPr>
              <w:ind w:firstLine="360" w:firstLineChars="200"/>
              <w:rPr>
                <w:kern w:val="0"/>
                <w:sz w:val="18"/>
                <w:szCs w:val="18"/>
              </w:rPr>
            </w:pPr>
            <w:r>
              <w:rPr>
                <w:kern w:val="0"/>
                <w:sz w:val="18"/>
                <w:szCs w:val="18"/>
              </w:rPr>
              <w:t>2.</w:t>
            </w:r>
            <w:r>
              <w:rPr>
                <w:rFonts w:hint="eastAsia"/>
                <w:kern w:val="0"/>
                <w:sz w:val="18"/>
                <w:szCs w:val="18"/>
              </w:rPr>
              <w:t>本期增加金额</w:t>
            </w:r>
          </w:p>
        </w:tc>
        <w:tc>
          <w:tcPr>
            <w:tcW w:w="1418" w:type="dxa"/>
            <w:vAlign w:val="center"/>
          </w:tcPr>
          <w:p>
            <w:pPr>
              <w:jc w:val="right"/>
              <w:rPr>
                <w:rFonts w:ascii="Arial Narrow" w:hAnsi="Arial Narrow"/>
                <w:color w:val="000000"/>
                <w:sz w:val="18"/>
                <w:szCs w:val="18"/>
              </w:rPr>
            </w:pPr>
          </w:p>
        </w:tc>
        <w:tc>
          <w:tcPr>
            <w:tcW w:w="1276" w:type="dxa"/>
            <w:vAlign w:val="center"/>
          </w:tcPr>
          <w:p>
            <w:pPr>
              <w:jc w:val="right"/>
              <w:rPr>
                <w:rFonts w:ascii="Arial Narrow" w:hAnsi="Arial Narrow"/>
                <w:color w:val="000000"/>
                <w:sz w:val="18"/>
                <w:szCs w:val="18"/>
              </w:rPr>
            </w:pPr>
          </w:p>
        </w:tc>
        <w:tc>
          <w:tcPr>
            <w:tcW w:w="1125" w:type="dxa"/>
            <w:vAlign w:val="center"/>
          </w:tcPr>
          <w:p>
            <w:pPr>
              <w:jc w:val="right"/>
              <w:rPr>
                <w:rFonts w:ascii="Arial Narrow" w:hAnsi="Arial Narrow"/>
                <w:color w:val="000000"/>
                <w:sz w:val="18"/>
                <w:szCs w:val="18"/>
              </w:rPr>
            </w:pPr>
          </w:p>
        </w:tc>
        <w:tc>
          <w:tcPr>
            <w:tcW w:w="1338" w:type="dxa"/>
            <w:vAlign w:val="center"/>
          </w:tcPr>
          <w:p>
            <w:pPr>
              <w:jc w:val="right"/>
              <w:rPr>
                <w:rFonts w:ascii="Arial" w:hAnsi="Arial" w:cs="Arial"/>
                <w:color w:val="000000"/>
                <w:sz w:val="18"/>
                <w:szCs w:val="18"/>
              </w:rPr>
            </w:pPr>
            <w:r>
              <w:rPr>
                <w:rFonts w:hint="eastAsia" w:ascii="Arial" w:hAnsi="Arial" w:cs="Arial"/>
                <w:color w:val="000000"/>
                <w:sz w:val="18"/>
                <w:szCs w:val="18"/>
              </w:rPr>
              <w:t>4322.05</w:t>
            </w:r>
          </w:p>
        </w:tc>
        <w:tc>
          <w:tcPr>
            <w:tcW w:w="1222" w:type="dxa"/>
            <w:tcBorders>
              <w:right w:val="nil"/>
            </w:tcBorders>
            <w:vAlign w:val="center"/>
          </w:tcPr>
          <w:p>
            <w:pPr>
              <w:widowControl/>
              <w:jc w:val="right"/>
              <w:textAlignment w:val="center"/>
              <w:rPr>
                <w:rFonts w:ascii="Arial" w:hAnsi="Arial" w:cs="Arial"/>
                <w:color w:val="000000"/>
                <w:sz w:val="18"/>
                <w:szCs w:val="18"/>
              </w:rPr>
            </w:pPr>
            <w:r>
              <w:rPr>
                <w:rFonts w:ascii="Arial" w:hAnsi="Arial" w:cs="Arial"/>
                <w:color w:val="000000"/>
                <w:kern w:val="0"/>
                <w:sz w:val="18"/>
                <w:szCs w:val="18"/>
                <w:lang w:bidi="ar"/>
              </w:rPr>
              <w:t xml:space="preserve"> 4,322.05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blHeader/>
        </w:trPr>
        <w:tc>
          <w:tcPr>
            <w:tcW w:w="2376" w:type="dxa"/>
            <w:tcBorders>
              <w:left w:val="nil"/>
            </w:tcBorders>
          </w:tcPr>
          <w:p>
            <w:pPr>
              <w:ind w:firstLine="360" w:firstLineChars="200"/>
              <w:rPr>
                <w:kern w:val="0"/>
                <w:sz w:val="18"/>
                <w:szCs w:val="18"/>
              </w:rPr>
            </w:pPr>
            <w:r>
              <w:rPr>
                <w:rFonts w:hint="eastAsia"/>
                <w:kern w:val="0"/>
                <w:sz w:val="18"/>
                <w:szCs w:val="18"/>
              </w:rPr>
              <w:t>（1）计提</w:t>
            </w:r>
          </w:p>
        </w:tc>
        <w:tc>
          <w:tcPr>
            <w:tcW w:w="1418" w:type="dxa"/>
            <w:vAlign w:val="center"/>
          </w:tcPr>
          <w:p>
            <w:pPr>
              <w:jc w:val="right"/>
              <w:rPr>
                <w:rFonts w:ascii="Arial Narrow" w:hAnsi="Arial Narrow"/>
                <w:color w:val="000000"/>
                <w:sz w:val="18"/>
                <w:szCs w:val="18"/>
              </w:rPr>
            </w:pPr>
          </w:p>
        </w:tc>
        <w:tc>
          <w:tcPr>
            <w:tcW w:w="1276" w:type="dxa"/>
            <w:vAlign w:val="center"/>
          </w:tcPr>
          <w:p>
            <w:pPr>
              <w:jc w:val="right"/>
              <w:rPr>
                <w:rFonts w:ascii="Arial Narrow" w:hAnsi="Arial Narrow"/>
                <w:color w:val="000000"/>
                <w:sz w:val="18"/>
                <w:szCs w:val="18"/>
              </w:rPr>
            </w:pPr>
          </w:p>
        </w:tc>
        <w:tc>
          <w:tcPr>
            <w:tcW w:w="1125" w:type="dxa"/>
            <w:vAlign w:val="center"/>
          </w:tcPr>
          <w:p>
            <w:pPr>
              <w:jc w:val="right"/>
              <w:rPr>
                <w:rFonts w:ascii="Arial Narrow" w:hAnsi="Arial Narrow"/>
                <w:color w:val="000000"/>
                <w:sz w:val="18"/>
                <w:szCs w:val="18"/>
              </w:rPr>
            </w:pPr>
          </w:p>
        </w:tc>
        <w:tc>
          <w:tcPr>
            <w:tcW w:w="1338" w:type="dxa"/>
            <w:vAlign w:val="center"/>
          </w:tcPr>
          <w:p>
            <w:pPr>
              <w:jc w:val="right"/>
              <w:rPr>
                <w:rFonts w:ascii="Arial" w:hAnsi="Arial" w:cs="Arial"/>
                <w:color w:val="000000"/>
                <w:sz w:val="18"/>
                <w:szCs w:val="18"/>
              </w:rPr>
            </w:pPr>
            <w:r>
              <w:rPr>
                <w:rFonts w:hint="eastAsia" w:ascii="Arial" w:hAnsi="Arial" w:cs="Arial"/>
                <w:color w:val="000000"/>
                <w:sz w:val="18"/>
                <w:szCs w:val="18"/>
              </w:rPr>
              <w:t>4322.05</w:t>
            </w:r>
          </w:p>
        </w:tc>
        <w:tc>
          <w:tcPr>
            <w:tcW w:w="1222" w:type="dxa"/>
            <w:tcBorders>
              <w:right w:val="nil"/>
            </w:tcBorders>
            <w:vAlign w:val="center"/>
          </w:tcPr>
          <w:p>
            <w:pPr>
              <w:widowControl/>
              <w:jc w:val="right"/>
              <w:textAlignment w:val="center"/>
              <w:rPr>
                <w:rFonts w:ascii="Arial" w:hAnsi="Arial" w:cs="Arial"/>
                <w:color w:val="000000"/>
                <w:sz w:val="18"/>
                <w:szCs w:val="18"/>
              </w:rPr>
            </w:pPr>
            <w:r>
              <w:rPr>
                <w:rFonts w:ascii="Arial" w:hAnsi="Arial" w:cs="Arial"/>
                <w:color w:val="000000"/>
                <w:kern w:val="0"/>
                <w:sz w:val="18"/>
                <w:szCs w:val="18"/>
                <w:lang w:bidi="ar"/>
              </w:rPr>
              <w:t xml:space="preserve"> 4,322.05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blHeader/>
        </w:trPr>
        <w:tc>
          <w:tcPr>
            <w:tcW w:w="2376" w:type="dxa"/>
            <w:tcBorders>
              <w:left w:val="nil"/>
            </w:tcBorders>
          </w:tcPr>
          <w:p>
            <w:pPr>
              <w:ind w:firstLine="360" w:firstLineChars="200"/>
              <w:rPr>
                <w:kern w:val="0"/>
                <w:sz w:val="18"/>
                <w:szCs w:val="18"/>
              </w:rPr>
            </w:pPr>
            <w:r>
              <w:rPr>
                <w:rFonts w:hint="eastAsia"/>
                <w:kern w:val="0"/>
                <w:sz w:val="18"/>
                <w:szCs w:val="18"/>
              </w:rPr>
              <w:t>3.本期减少金额</w:t>
            </w:r>
          </w:p>
        </w:tc>
        <w:tc>
          <w:tcPr>
            <w:tcW w:w="1418" w:type="dxa"/>
            <w:vAlign w:val="center"/>
          </w:tcPr>
          <w:p>
            <w:pPr>
              <w:jc w:val="right"/>
              <w:rPr>
                <w:rFonts w:ascii="Arial Narrow" w:hAnsi="Arial Narrow"/>
                <w:color w:val="000000"/>
                <w:sz w:val="18"/>
                <w:szCs w:val="18"/>
              </w:rPr>
            </w:pPr>
          </w:p>
        </w:tc>
        <w:tc>
          <w:tcPr>
            <w:tcW w:w="1276" w:type="dxa"/>
            <w:vAlign w:val="center"/>
          </w:tcPr>
          <w:p>
            <w:pPr>
              <w:jc w:val="right"/>
              <w:rPr>
                <w:rFonts w:ascii="Arial Narrow" w:hAnsi="Arial Narrow"/>
                <w:color w:val="000000"/>
                <w:sz w:val="18"/>
                <w:szCs w:val="18"/>
              </w:rPr>
            </w:pPr>
          </w:p>
        </w:tc>
        <w:tc>
          <w:tcPr>
            <w:tcW w:w="1125" w:type="dxa"/>
            <w:vAlign w:val="center"/>
          </w:tcPr>
          <w:p>
            <w:pPr>
              <w:jc w:val="right"/>
              <w:rPr>
                <w:rFonts w:ascii="Arial Narrow" w:hAnsi="Arial Narrow"/>
                <w:color w:val="000000"/>
                <w:sz w:val="18"/>
                <w:szCs w:val="18"/>
              </w:rPr>
            </w:pPr>
          </w:p>
        </w:tc>
        <w:tc>
          <w:tcPr>
            <w:tcW w:w="1338" w:type="dxa"/>
            <w:vAlign w:val="center"/>
          </w:tcPr>
          <w:p>
            <w:pPr>
              <w:jc w:val="right"/>
              <w:rPr>
                <w:rFonts w:ascii="Arial" w:hAnsi="Arial" w:cs="Arial"/>
                <w:color w:val="000000"/>
                <w:sz w:val="18"/>
                <w:szCs w:val="18"/>
              </w:rPr>
            </w:pPr>
          </w:p>
        </w:tc>
        <w:tc>
          <w:tcPr>
            <w:tcW w:w="1222" w:type="dxa"/>
            <w:tcBorders>
              <w:right w:val="nil"/>
            </w:tcBorders>
            <w:vAlign w:val="center"/>
          </w:tcPr>
          <w:p>
            <w:pPr>
              <w:widowControl/>
              <w:jc w:val="right"/>
              <w:textAlignment w:val="center"/>
              <w:rPr>
                <w:rFonts w:ascii="Arial" w:hAnsi="Arial" w:cs="Arial"/>
                <w:color w:val="000000"/>
                <w:sz w:val="18"/>
                <w:szCs w:val="18"/>
              </w:rPr>
            </w:pPr>
            <w:r>
              <w:rPr>
                <w:rFonts w:ascii="Arial" w:hAnsi="Arial" w:cs="Arial"/>
                <w:color w:val="000000"/>
                <w:kern w:val="0"/>
                <w:sz w:val="18"/>
                <w:szCs w:val="18"/>
                <w:lang w:bidi="ar"/>
              </w:rPr>
              <w:t xml:space="preserve">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blHeader/>
        </w:trPr>
        <w:tc>
          <w:tcPr>
            <w:tcW w:w="2376" w:type="dxa"/>
            <w:tcBorders>
              <w:left w:val="nil"/>
            </w:tcBorders>
          </w:tcPr>
          <w:p>
            <w:pPr>
              <w:ind w:firstLine="360" w:firstLineChars="200"/>
              <w:rPr>
                <w:kern w:val="0"/>
                <w:sz w:val="18"/>
                <w:szCs w:val="18"/>
              </w:rPr>
            </w:pPr>
            <w:r>
              <w:rPr>
                <w:rFonts w:hint="eastAsia"/>
                <w:kern w:val="0"/>
                <w:sz w:val="18"/>
                <w:szCs w:val="18"/>
              </w:rPr>
              <w:t>（1）处置或报废</w:t>
            </w:r>
          </w:p>
        </w:tc>
        <w:tc>
          <w:tcPr>
            <w:tcW w:w="1418" w:type="dxa"/>
            <w:vAlign w:val="center"/>
          </w:tcPr>
          <w:p>
            <w:pPr>
              <w:jc w:val="right"/>
              <w:rPr>
                <w:rFonts w:ascii="Arial Narrow" w:hAnsi="Arial Narrow"/>
                <w:color w:val="000000"/>
                <w:sz w:val="18"/>
                <w:szCs w:val="18"/>
              </w:rPr>
            </w:pPr>
          </w:p>
        </w:tc>
        <w:tc>
          <w:tcPr>
            <w:tcW w:w="1276" w:type="dxa"/>
            <w:vAlign w:val="center"/>
          </w:tcPr>
          <w:p>
            <w:pPr>
              <w:jc w:val="right"/>
              <w:rPr>
                <w:rFonts w:ascii="Arial Narrow" w:hAnsi="Arial Narrow"/>
                <w:color w:val="000000"/>
                <w:sz w:val="18"/>
                <w:szCs w:val="18"/>
              </w:rPr>
            </w:pPr>
          </w:p>
        </w:tc>
        <w:tc>
          <w:tcPr>
            <w:tcW w:w="1125" w:type="dxa"/>
            <w:vAlign w:val="center"/>
          </w:tcPr>
          <w:p>
            <w:pPr>
              <w:jc w:val="right"/>
              <w:rPr>
                <w:rFonts w:ascii="Arial Narrow" w:hAnsi="Arial Narrow"/>
                <w:color w:val="000000"/>
                <w:sz w:val="18"/>
                <w:szCs w:val="18"/>
              </w:rPr>
            </w:pPr>
          </w:p>
        </w:tc>
        <w:tc>
          <w:tcPr>
            <w:tcW w:w="1338" w:type="dxa"/>
            <w:vAlign w:val="center"/>
          </w:tcPr>
          <w:p>
            <w:pPr>
              <w:widowControl/>
              <w:jc w:val="right"/>
              <w:textAlignment w:val="center"/>
              <w:rPr>
                <w:rFonts w:ascii="Arial" w:hAnsi="Arial" w:cs="Arial"/>
                <w:color w:val="000000"/>
                <w:sz w:val="18"/>
                <w:szCs w:val="18"/>
              </w:rPr>
            </w:pPr>
            <w:r>
              <w:rPr>
                <w:rFonts w:ascii="Arial" w:hAnsi="Arial" w:cs="Arial"/>
                <w:color w:val="000000"/>
                <w:kern w:val="0"/>
                <w:sz w:val="18"/>
                <w:szCs w:val="18"/>
                <w:lang w:bidi="ar"/>
              </w:rPr>
              <w:t xml:space="preserve"> </w:t>
            </w:r>
          </w:p>
        </w:tc>
        <w:tc>
          <w:tcPr>
            <w:tcW w:w="1222" w:type="dxa"/>
            <w:tcBorders>
              <w:right w:val="nil"/>
            </w:tcBorders>
            <w:vAlign w:val="center"/>
          </w:tcPr>
          <w:p>
            <w:pPr>
              <w:widowControl/>
              <w:jc w:val="right"/>
              <w:textAlignment w:val="center"/>
              <w:rPr>
                <w:rFonts w:ascii="Arial" w:hAnsi="Arial" w:cs="Arial"/>
                <w:color w:val="000000"/>
                <w:sz w:val="18"/>
                <w:szCs w:val="18"/>
              </w:rPr>
            </w:pPr>
            <w:r>
              <w:rPr>
                <w:rFonts w:ascii="Arial" w:hAnsi="Arial" w:cs="Arial"/>
                <w:color w:val="000000"/>
                <w:kern w:val="0"/>
                <w:sz w:val="18"/>
                <w:szCs w:val="18"/>
                <w:lang w:bidi="a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blHeader/>
        </w:trPr>
        <w:tc>
          <w:tcPr>
            <w:tcW w:w="2376" w:type="dxa"/>
            <w:tcBorders>
              <w:left w:val="nil"/>
            </w:tcBorders>
          </w:tcPr>
          <w:p>
            <w:pPr>
              <w:ind w:firstLine="450" w:firstLineChars="250"/>
              <w:rPr>
                <w:kern w:val="0"/>
                <w:sz w:val="18"/>
                <w:szCs w:val="18"/>
              </w:rPr>
            </w:pPr>
            <w:r>
              <w:rPr>
                <w:rFonts w:hint="eastAsia"/>
                <w:kern w:val="0"/>
                <w:sz w:val="18"/>
                <w:szCs w:val="18"/>
              </w:rPr>
              <w:t>(2)转入投资性房地产</w:t>
            </w:r>
          </w:p>
        </w:tc>
        <w:tc>
          <w:tcPr>
            <w:tcW w:w="1418" w:type="dxa"/>
            <w:vAlign w:val="center"/>
          </w:tcPr>
          <w:p>
            <w:pPr>
              <w:jc w:val="right"/>
              <w:rPr>
                <w:rFonts w:ascii="Arial Narrow" w:hAnsi="Arial Narrow"/>
                <w:color w:val="000000"/>
                <w:sz w:val="18"/>
                <w:szCs w:val="18"/>
              </w:rPr>
            </w:pPr>
          </w:p>
        </w:tc>
        <w:tc>
          <w:tcPr>
            <w:tcW w:w="1276" w:type="dxa"/>
            <w:vAlign w:val="center"/>
          </w:tcPr>
          <w:p>
            <w:pPr>
              <w:rPr>
                <w:rFonts w:ascii="Arial Narrow" w:hAnsi="Arial Narrow"/>
                <w:color w:val="000000"/>
                <w:sz w:val="18"/>
                <w:szCs w:val="18"/>
              </w:rPr>
            </w:pPr>
          </w:p>
        </w:tc>
        <w:tc>
          <w:tcPr>
            <w:tcW w:w="1125" w:type="dxa"/>
            <w:vAlign w:val="center"/>
          </w:tcPr>
          <w:p>
            <w:pPr>
              <w:rPr>
                <w:rFonts w:ascii="Arial Narrow" w:hAnsi="Arial Narrow"/>
                <w:color w:val="000000"/>
                <w:sz w:val="18"/>
                <w:szCs w:val="18"/>
              </w:rPr>
            </w:pPr>
          </w:p>
        </w:tc>
        <w:tc>
          <w:tcPr>
            <w:tcW w:w="1338" w:type="dxa"/>
            <w:vAlign w:val="center"/>
          </w:tcPr>
          <w:p>
            <w:pPr>
              <w:jc w:val="right"/>
              <w:rPr>
                <w:rFonts w:ascii="Arial" w:hAnsi="Arial" w:cs="Arial"/>
                <w:color w:val="000000"/>
                <w:sz w:val="18"/>
                <w:szCs w:val="18"/>
              </w:rPr>
            </w:pPr>
          </w:p>
        </w:tc>
        <w:tc>
          <w:tcPr>
            <w:tcW w:w="1222" w:type="dxa"/>
            <w:tcBorders>
              <w:right w:val="nil"/>
            </w:tcBorders>
            <w:vAlign w:val="center"/>
          </w:tcPr>
          <w:p>
            <w:pPr>
              <w:widowControl/>
              <w:jc w:val="right"/>
              <w:textAlignment w:val="center"/>
              <w:rPr>
                <w:rFonts w:ascii="Arial" w:hAnsi="Arial" w:cs="Arial"/>
                <w:color w:val="000000"/>
                <w:sz w:val="18"/>
                <w:szCs w:val="18"/>
              </w:rPr>
            </w:pPr>
            <w:r>
              <w:rPr>
                <w:rFonts w:ascii="Arial" w:hAnsi="Arial" w:cs="Arial"/>
                <w:color w:val="000000"/>
                <w:kern w:val="0"/>
                <w:sz w:val="18"/>
                <w:szCs w:val="18"/>
                <w:lang w:bidi="ar"/>
              </w:rPr>
              <w:t xml:space="preserve">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blHeader/>
        </w:trPr>
        <w:tc>
          <w:tcPr>
            <w:tcW w:w="2376" w:type="dxa"/>
            <w:tcBorders>
              <w:left w:val="nil"/>
            </w:tcBorders>
          </w:tcPr>
          <w:p>
            <w:pPr>
              <w:ind w:firstLine="360" w:firstLineChars="200"/>
              <w:rPr>
                <w:sz w:val="18"/>
                <w:szCs w:val="18"/>
              </w:rPr>
            </w:pPr>
            <w:r>
              <w:rPr>
                <w:rFonts w:hint="eastAsia"/>
                <w:sz w:val="18"/>
                <w:szCs w:val="18"/>
              </w:rPr>
              <w:t>4.期末余额</w:t>
            </w:r>
          </w:p>
        </w:tc>
        <w:tc>
          <w:tcPr>
            <w:tcW w:w="1418" w:type="dxa"/>
            <w:vAlign w:val="center"/>
          </w:tcPr>
          <w:p>
            <w:pPr>
              <w:jc w:val="right"/>
              <w:rPr>
                <w:rFonts w:ascii="Arial Narrow" w:hAnsi="Arial Narrow"/>
                <w:color w:val="000000"/>
                <w:sz w:val="18"/>
                <w:szCs w:val="18"/>
              </w:rPr>
            </w:pPr>
          </w:p>
        </w:tc>
        <w:tc>
          <w:tcPr>
            <w:tcW w:w="1276" w:type="dxa"/>
            <w:vAlign w:val="center"/>
          </w:tcPr>
          <w:p>
            <w:pPr>
              <w:jc w:val="right"/>
              <w:rPr>
                <w:rFonts w:ascii="Arial Narrow" w:hAnsi="Arial Narrow"/>
                <w:color w:val="000000"/>
                <w:sz w:val="18"/>
                <w:szCs w:val="18"/>
              </w:rPr>
            </w:pPr>
          </w:p>
        </w:tc>
        <w:tc>
          <w:tcPr>
            <w:tcW w:w="1125" w:type="dxa"/>
            <w:vAlign w:val="center"/>
          </w:tcPr>
          <w:p>
            <w:pPr>
              <w:jc w:val="right"/>
              <w:rPr>
                <w:rFonts w:ascii="Arial Narrow" w:hAnsi="Arial Narrow"/>
                <w:color w:val="000000"/>
                <w:sz w:val="18"/>
                <w:szCs w:val="18"/>
              </w:rPr>
            </w:pPr>
          </w:p>
        </w:tc>
        <w:tc>
          <w:tcPr>
            <w:tcW w:w="1338" w:type="dxa"/>
            <w:vAlign w:val="center"/>
          </w:tcPr>
          <w:p>
            <w:pPr>
              <w:widowControl/>
              <w:jc w:val="right"/>
              <w:textAlignment w:val="center"/>
              <w:rPr>
                <w:rFonts w:ascii="Arial" w:hAnsi="Arial" w:cs="Arial"/>
                <w:color w:val="000000"/>
                <w:sz w:val="18"/>
                <w:szCs w:val="18"/>
              </w:rPr>
            </w:pPr>
            <w:r>
              <w:rPr>
                <w:rFonts w:ascii="Arial" w:hAnsi="Arial" w:cs="Arial"/>
                <w:color w:val="000000"/>
                <w:kern w:val="0"/>
                <w:sz w:val="18"/>
                <w:szCs w:val="18"/>
                <w:lang w:bidi="ar"/>
              </w:rPr>
              <w:t xml:space="preserve"> 13,563.89 </w:t>
            </w:r>
          </w:p>
        </w:tc>
        <w:tc>
          <w:tcPr>
            <w:tcW w:w="1222" w:type="dxa"/>
            <w:tcBorders>
              <w:right w:val="nil"/>
            </w:tcBorders>
            <w:vAlign w:val="center"/>
          </w:tcPr>
          <w:p>
            <w:pPr>
              <w:widowControl/>
              <w:jc w:val="right"/>
              <w:textAlignment w:val="center"/>
              <w:rPr>
                <w:rFonts w:ascii="Arial" w:hAnsi="Arial" w:cs="Arial"/>
                <w:color w:val="000000"/>
                <w:sz w:val="18"/>
                <w:szCs w:val="18"/>
              </w:rPr>
            </w:pPr>
            <w:r>
              <w:rPr>
                <w:rFonts w:ascii="Arial" w:hAnsi="Arial" w:cs="Arial"/>
                <w:color w:val="000000"/>
                <w:kern w:val="0"/>
                <w:sz w:val="18"/>
                <w:szCs w:val="18"/>
                <w:lang w:bidi="ar"/>
              </w:rPr>
              <w:t xml:space="preserve"> 13,563.89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blHeader/>
        </w:trPr>
        <w:tc>
          <w:tcPr>
            <w:tcW w:w="2376" w:type="dxa"/>
            <w:tcBorders>
              <w:left w:val="nil"/>
            </w:tcBorders>
          </w:tcPr>
          <w:p>
            <w:pPr>
              <w:rPr>
                <w:sz w:val="18"/>
                <w:szCs w:val="18"/>
              </w:rPr>
            </w:pPr>
            <w:r>
              <w:rPr>
                <w:rFonts w:hint="eastAsia"/>
                <w:sz w:val="18"/>
                <w:szCs w:val="18"/>
              </w:rPr>
              <w:t>三、减值准备</w:t>
            </w:r>
          </w:p>
        </w:tc>
        <w:tc>
          <w:tcPr>
            <w:tcW w:w="1418" w:type="dxa"/>
            <w:vAlign w:val="center"/>
          </w:tcPr>
          <w:p>
            <w:pPr>
              <w:jc w:val="right"/>
              <w:rPr>
                <w:rFonts w:ascii="Arial Narrow" w:hAnsi="Arial Narrow"/>
                <w:color w:val="000000"/>
                <w:sz w:val="18"/>
                <w:szCs w:val="18"/>
              </w:rPr>
            </w:pPr>
          </w:p>
        </w:tc>
        <w:tc>
          <w:tcPr>
            <w:tcW w:w="1276" w:type="dxa"/>
            <w:vAlign w:val="center"/>
          </w:tcPr>
          <w:p>
            <w:pPr>
              <w:jc w:val="right"/>
              <w:rPr>
                <w:rFonts w:ascii="Arial Narrow" w:hAnsi="Arial Narrow"/>
                <w:color w:val="000000"/>
                <w:sz w:val="18"/>
                <w:szCs w:val="18"/>
              </w:rPr>
            </w:pPr>
          </w:p>
        </w:tc>
        <w:tc>
          <w:tcPr>
            <w:tcW w:w="1125" w:type="dxa"/>
            <w:vAlign w:val="center"/>
          </w:tcPr>
          <w:p>
            <w:pPr>
              <w:jc w:val="right"/>
              <w:rPr>
                <w:rFonts w:ascii="Arial Narrow" w:hAnsi="Arial Narrow"/>
                <w:color w:val="000000"/>
                <w:sz w:val="18"/>
                <w:szCs w:val="18"/>
              </w:rPr>
            </w:pPr>
          </w:p>
        </w:tc>
        <w:tc>
          <w:tcPr>
            <w:tcW w:w="1338" w:type="dxa"/>
            <w:vAlign w:val="center"/>
          </w:tcPr>
          <w:p>
            <w:pPr>
              <w:jc w:val="right"/>
              <w:rPr>
                <w:rFonts w:ascii="Arial" w:hAnsi="Arial" w:cs="Arial"/>
                <w:color w:val="000000"/>
                <w:sz w:val="18"/>
                <w:szCs w:val="18"/>
              </w:rPr>
            </w:pPr>
          </w:p>
        </w:tc>
        <w:tc>
          <w:tcPr>
            <w:tcW w:w="1222" w:type="dxa"/>
            <w:tcBorders>
              <w:right w:val="nil"/>
            </w:tcBorders>
            <w:vAlign w:val="center"/>
          </w:tcPr>
          <w:p>
            <w:pPr>
              <w:widowControl/>
              <w:jc w:val="right"/>
              <w:textAlignment w:val="center"/>
              <w:rPr>
                <w:rFonts w:ascii="Arial" w:hAnsi="Arial" w:cs="Arial"/>
                <w:color w:val="000000"/>
                <w:sz w:val="18"/>
                <w:szCs w:val="18"/>
              </w:rPr>
            </w:pPr>
            <w:r>
              <w:rPr>
                <w:rFonts w:ascii="Arial" w:hAnsi="Arial" w:cs="Arial"/>
                <w:color w:val="000000"/>
                <w:kern w:val="0"/>
                <w:sz w:val="18"/>
                <w:szCs w:val="18"/>
                <w:lang w:bidi="ar"/>
              </w:rPr>
              <w:t xml:space="preserve">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blHeader/>
        </w:trPr>
        <w:tc>
          <w:tcPr>
            <w:tcW w:w="2376" w:type="dxa"/>
            <w:tcBorders>
              <w:left w:val="nil"/>
            </w:tcBorders>
          </w:tcPr>
          <w:p>
            <w:pPr>
              <w:ind w:firstLine="360" w:firstLineChars="200"/>
              <w:rPr>
                <w:kern w:val="0"/>
                <w:sz w:val="18"/>
                <w:szCs w:val="18"/>
              </w:rPr>
            </w:pPr>
            <w:r>
              <w:rPr>
                <w:kern w:val="0"/>
                <w:sz w:val="18"/>
                <w:szCs w:val="18"/>
              </w:rPr>
              <w:t>1.</w:t>
            </w:r>
            <w:r>
              <w:rPr>
                <w:rFonts w:hint="eastAsia"/>
                <w:kern w:val="0"/>
                <w:sz w:val="18"/>
                <w:szCs w:val="18"/>
              </w:rPr>
              <w:t>期初余额</w:t>
            </w:r>
          </w:p>
        </w:tc>
        <w:tc>
          <w:tcPr>
            <w:tcW w:w="1418" w:type="dxa"/>
            <w:vAlign w:val="center"/>
          </w:tcPr>
          <w:p>
            <w:pPr>
              <w:jc w:val="right"/>
              <w:rPr>
                <w:rFonts w:ascii="Arial Narrow" w:hAnsi="Arial Narrow"/>
                <w:color w:val="000000"/>
                <w:sz w:val="18"/>
                <w:szCs w:val="18"/>
              </w:rPr>
            </w:pPr>
          </w:p>
        </w:tc>
        <w:tc>
          <w:tcPr>
            <w:tcW w:w="1276" w:type="dxa"/>
            <w:vAlign w:val="center"/>
          </w:tcPr>
          <w:p>
            <w:pPr>
              <w:jc w:val="right"/>
              <w:rPr>
                <w:rFonts w:ascii="Arial Narrow" w:hAnsi="Arial Narrow"/>
                <w:color w:val="000000"/>
                <w:sz w:val="18"/>
                <w:szCs w:val="18"/>
              </w:rPr>
            </w:pPr>
          </w:p>
        </w:tc>
        <w:tc>
          <w:tcPr>
            <w:tcW w:w="1125" w:type="dxa"/>
            <w:vAlign w:val="center"/>
          </w:tcPr>
          <w:p>
            <w:pPr>
              <w:jc w:val="right"/>
              <w:rPr>
                <w:rFonts w:ascii="Arial Narrow" w:hAnsi="Arial Narrow"/>
                <w:color w:val="000000"/>
                <w:sz w:val="18"/>
                <w:szCs w:val="18"/>
              </w:rPr>
            </w:pPr>
          </w:p>
        </w:tc>
        <w:tc>
          <w:tcPr>
            <w:tcW w:w="1338" w:type="dxa"/>
            <w:vAlign w:val="center"/>
          </w:tcPr>
          <w:p>
            <w:pPr>
              <w:jc w:val="right"/>
              <w:rPr>
                <w:rFonts w:ascii="Arial" w:hAnsi="Arial" w:cs="Arial"/>
                <w:color w:val="000000"/>
                <w:sz w:val="18"/>
                <w:szCs w:val="18"/>
              </w:rPr>
            </w:pPr>
          </w:p>
        </w:tc>
        <w:tc>
          <w:tcPr>
            <w:tcW w:w="1222" w:type="dxa"/>
            <w:tcBorders>
              <w:right w:val="nil"/>
            </w:tcBorders>
            <w:vAlign w:val="center"/>
          </w:tcPr>
          <w:p>
            <w:pPr>
              <w:widowControl/>
              <w:jc w:val="right"/>
              <w:textAlignment w:val="center"/>
              <w:rPr>
                <w:rFonts w:ascii="Arial" w:hAnsi="Arial" w:cs="Arial"/>
                <w:color w:val="000000"/>
                <w:sz w:val="18"/>
                <w:szCs w:val="18"/>
              </w:rPr>
            </w:pPr>
            <w:r>
              <w:rPr>
                <w:rFonts w:ascii="Arial" w:hAnsi="Arial" w:cs="Arial"/>
                <w:color w:val="000000"/>
                <w:kern w:val="0"/>
                <w:sz w:val="18"/>
                <w:szCs w:val="18"/>
                <w:lang w:bidi="ar"/>
              </w:rPr>
              <w:t xml:space="preserve">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blHeader/>
        </w:trPr>
        <w:tc>
          <w:tcPr>
            <w:tcW w:w="2376" w:type="dxa"/>
            <w:tcBorders>
              <w:left w:val="nil"/>
            </w:tcBorders>
          </w:tcPr>
          <w:p>
            <w:pPr>
              <w:ind w:firstLine="360" w:firstLineChars="200"/>
              <w:rPr>
                <w:kern w:val="0"/>
                <w:sz w:val="18"/>
                <w:szCs w:val="18"/>
              </w:rPr>
            </w:pPr>
            <w:r>
              <w:rPr>
                <w:kern w:val="0"/>
                <w:sz w:val="18"/>
                <w:szCs w:val="18"/>
              </w:rPr>
              <w:t>2.</w:t>
            </w:r>
            <w:r>
              <w:rPr>
                <w:rFonts w:hint="eastAsia"/>
                <w:kern w:val="0"/>
                <w:sz w:val="18"/>
                <w:szCs w:val="18"/>
              </w:rPr>
              <w:t>本期增加金额</w:t>
            </w:r>
          </w:p>
        </w:tc>
        <w:tc>
          <w:tcPr>
            <w:tcW w:w="1418" w:type="dxa"/>
            <w:vAlign w:val="center"/>
          </w:tcPr>
          <w:p>
            <w:pPr>
              <w:jc w:val="right"/>
              <w:rPr>
                <w:rFonts w:ascii="Arial Narrow" w:hAnsi="Arial Narrow"/>
                <w:color w:val="000000"/>
                <w:sz w:val="18"/>
                <w:szCs w:val="18"/>
              </w:rPr>
            </w:pPr>
          </w:p>
        </w:tc>
        <w:tc>
          <w:tcPr>
            <w:tcW w:w="1276" w:type="dxa"/>
            <w:vAlign w:val="center"/>
          </w:tcPr>
          <w:p>
            <w:pPr>
              <w:jc w:val="right"/>
              <w:rPr>
                <w:rFonts w:ascii="Arial Narrow" w:hAnsi="Arial Narrow"/>
                <w:color w:val="000000"/>
                <w:sz w:val="18"/>
                <w:szCs w:val="18"/>
              </w:rPr>
            </w:pPr>
          </w:p>
        </w:tc>
        <w:tc>
          <w:tcPr>
            <w:tcW w:w="1125" w:type="dxa"/>
            <w:vAlign w:val="center"/>
          </w:tcPr>
          <w:p>
            <w:pPr>
              <w:jc w:val="right"/>
              <w:rPr>
                <w:rFonts w:ascii="Arial Narrow" w:hAnsi="Arial Narrow"/>
                <w:color w:val="000000"/>
                <w:sz w:val="18"/>
                <w:szCs w:val="18"/>
              </w:rPr>
            </w:pPr>
          </w:p>
        </w:tc>
        <w:tc>
          <w:tcPr>
            <w:tcW w:w="1338" w:type="dxa"/>
            <w:vAlign w:val="center"/>
          </w:tcPr>
          <w:p>
            <w:pPr>
              <w:jc w:val="right"/>
              <w:rPr>
                <w:rFonts w:ascii="Arial" w:hAnsi="Arial" w:cs="Arial"/>
                <w:color w:val="000000"/>
                <w:sz w:val="18"/>
                <w:szCs w:val="18"/>
              </w:rPr>
            </w:pPr>
          </w:p>
        </w:tc>
        <w:tc>
          <w:tcPr>
            <w:tcW w:w="1222" w:type="dxa"/>
            <w:tcBorders>
              <w:right w:val="nil"/>
            </w:tcBorders>
            <w:vAlign w:val="center"/>
          </w:tcPr>
          <w:p>
            <w:pPr>
              <w:widowControl/>
              <w:jc w:val="right"/>
              <w:textAlignment w:val="center"/>
              <w:rPr>
                <w:rFonts w:ascii="Arial" w:hAnsi="Arial" w:cs="Arial"/>
                <w:color w:val="000000"/>
                <w:sz w:val="18"/>
                <w:szCs w:val="18"/>
              </w:rPr>
            </w:pPr>
            <w:r>
              <w:rPr>
                <w:rFonts w:ascii="Arial" w:hAnsi="Arial" w:cs="Arial"/>
                <w:color w:val="000000"/>
                <w:kern w:val="0"/>
                <w:sz w:val="18"/>
                <w:szCs w:val="18"/>
                <w:lang w:bidi="ar"/>
              </w:rPr>
              <w:t xml:space="preserve">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blHeader/>
        </w:trPr>
        <w:tc>
          <w:tcPr>
            <w:tcW w:w="2376" w:type="dxa"/>
            <w:tcBorders>
              <w:left w:val="nil"/>
            </w:tcBorders>
          </w:tcPr>
          <w:p>
            <w:pPr>
              <w:ind w:firstLine="360" w:firstLineChars="200"/>
              <w:rPr>
                <w:kern w:val="0"/>
                <w:sz w:val="18"/>
                <w:szCs w:val="18"/>
              </w:rPr>
            </w:pPr>
            <w:r>
              <w:rPr>
                <w:rFonts w:hint="eastAsia"/>
                <w:kern w:val="0"/>
                <w:sz w:val="18"/>
                <w:szCs w:val="18"/>
              </w:rPr>
              <w:t>3.本期减少金额</w:t>
            </w:r>
          </w:p>
        </w:tc>
        <w:tc>
          <w:tcPr>
            <w:tcW w:w="1418" w:type="dxa"/>
            <w:vAlign w:val="center"/>
          </w:tcPr>
          <w:p>
            <w:pPr>
              <w:jc w:val="right"/>
              <w:rPr>
                <w:rFonts w:ascii="Arial Narrow" w:hAnsi="Arial Narrow"/>
                <w:color w:val="000000"/>
                <w:sz w:val="18"/>
                <w:szCs w:val="18"/>
              </w:rPr>
            </w:pPr>
          </w:p>
        </w:tc>
        <w:tc>
          <w:tcPr>
            <w:tcW w:w="1276" w:type="dxa"/>
            <w:vAlign w:val="center"/>
          </w:tcPr>
          <w:p>
            <w:pPr>
              <w:jc w:val="right"/>
              <w:rPr>
                <w:rFonts w:ascii="Arial Narrow" w:hAnsi="Arial Narrow"/>
                <w:color w:val="000000"/>
                <w:sz w:val="18"/>
                <w:szCs w:val="18"/>
              </w:rPr>
            </w:pPr>
          </w:p>
        </w:tc>
        <w:tc>
          <w:tcPr>
            <w:tcW w:w="1125" w:type="dxa"/>
            <w:vAlign w:val="center"/>
          </w:tcPr>
          <w:p>
            <w:pPr>
              <w:jc w:val="right"/>
              <w:rPr>
                <w:rFonts w:ascii="Arial Narrow" w:hAnsi="Arial Narrow"/>
                <w:color w:val="000000"/>
                <w:sz w:val="18"/>
                <w:szCs w:val="18"/>
              </w:rPr>
            </w:pPr>
          </w:p>
        </w:tc>
        <w:tc>
          <w:tcPr>
            <w:tcW w:w="1338" w:type="dxa"/>
            <w:vAlign w:val="center"/>
          </w:tcPr>
          <w:p>
            <w:pPr>
              <w:jc w:val="right"/>
              <w:rPr>
                <w:rFonts w:ascii="Arial" w:hAnsi="Arial" w:cs="Arial"/>
                <w:color w:val="000000"/>
                <w:sz w:val="18"/>
                <w:szCs w:val="18"/>
              </w:rPr>
            </w:pPr>
          </w:p>
        </w:tc>
        <w:tc>
          <w:tcPr>
            <w:tcW w:w="1222" w:type="dxa"/>
            <w:tcBorders>
              <w:right w:val="nil"/>
            </w:tcBorders>
            <w:vAlign w:val="center"/>
          </w:tcPr>
          <w:p>
            <w:pPr>
              <w:widowControl/>
              <w:jc w:val="right"/>
              <w:textAlignment w:val="center"/>
              <w:rPr>
                <w:rFonts w:ascii="Arial" w:hAnsi="Arial" w:cs="Arial"/>
                <w:color w:val="000000"/>
                <w:sz w:val="18"/>
                <w:szCs w:val="18"/>
              </w:rPr>
            </w:pPr>
            <w:r>
              <w:rPr>
                <w:rFonts w:ascii="Arial" w:hAnsi="Arial" w:cs="Arial"/>
                <w:color w:val="000000"/>
                <w:kern w:val="0"/>
                <w:sz w:val="18"/>
                <w:szCs w:val="18"/>
                <w:lang w:bidi="ar"/>
              </w:rPr>
              <w:t xml:space="preserve">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blHeader/>
        </w:trPr>
        <w:tc>
          <w:tcPr>
            <w:tcW w:w="2376" w:type="dxa"/>
            <w:tcBorders>
              <w:left w:val="nil"/>
            </w:tcBorders>
          </w:tcPr>
          <w:p>
            <w:pPr>
              <w:ind w:firstLine="360" w:firstLineChars="200"/>
              <w:rPr>
                <w:sz w:val="18"/>
                <w:szCs w:val="18"/>
              </w:rPr>
            </w:pPr>
            <w:r>
              <w:rPr>
                <w:rFonts w:hint="eastAsia"/>
                <w:sz w:val="18"/>
                <w:szCs w:val="18"/>
              </w:rPr>
              <w:t>4.期末余额</w:t>
            </w:r>
          </w:p>
        </w:tc>
        <w:tc>
          <w:tcPr>
            <w:tcW w:w="1418" w:type="dxa"/>
            <w:vAlign w:val="center"/>
          </w:tcPr>
          <w:p>
            <w:pPr>
              <w:jc w:val="right"/>
              <w:rPr>
                <w:rFonts w:ascii="Arial Narrow" w:hAnsi="Arial Narrow"/>
                <w:color w:val="000000"/>
                <w:sz w:val="18"/>
                <w:szCs w:val="18"/>
              </w:rPr>
            </w:pPr>
          </w:p>
        </w:tc>
        <w:tc>
          <w:tcPr>
            <w:tcW w:w="1276" w:type="dxa"/>
            <w:vAlign w:val="center"/>
          </w:tcPr>
          <w:p>
            <w:pPr>
              <w:jc w:val="right"/>
              <w:rPr>
                <w:rFonts w:ascii="Arial Narrow" w:hAnsi="Arial Narrow"/>
                <w:color w:val="000000"/>
                <w:sz w:val="18"/>
                <w:szCs w:val="18"/>
              </w:rPr>
            </w:pPr>
          </w:p>
        </w:tc>
        <w:tc>
          <w:tcPr>
            <w:tcW w:w="1125" w:type="dxa"/>
            <w:vAlign w:val="center"/>
          </w:tcPr>
          <w:p>
            <w:pPr>
              <w:jc w:val="right"/>
              <w:rPr>
                <w:rFonts w:ascii="Arial Narrow" w:hAnsi="Arial Narrow"/>
                <w:color w:val="000000"/>
                <w:sz w:val="18"/>
                <w:szCs w:val="18"/>
              </w:rPr>
            </w:pPr>
          </w:p>
        </w:tc>
        <w:tc>
          <w:tcPr>
            <w:tcW w:w="1338" w:type="dxa"/>
            <w:vAlign w:val="center"/>
          </w:tcPr>
          <w:p>
            <w:pPr>
              <w:jc w:val="right"/>
              <w:rPr>
                <w:rFonts w:ascii="Arial" w:hAnsi="Arial" w:cs="Arial"/>
                <w:color w:val="000000"/>
                <w:sz w:val="18"/>
                <w:szCs w:val="18"/>
              </w:rPr>
            </w:pPr>
          </w:p>
        </w:tc>
        <w:tc>
          <w:tcPr>
            <w:tcW w:w="1222" w:type="dxa"/>
            <w:tcBorders>
              <w:right w:val="nil"/>
            </w:tcBorders>
            <w:vAlign w:val="center"/>
          </w:tcPr>
          <w:p>
            <w:pPr>
              <w:widowControl/>
              <w:jc w:val="right"/>
              <w:textAlignment w:val="center"/>
              <w:rPr>
                <w:rFonts w:ascii="Arial" w:hAnsi="Arial" w:cs="Arial"/>
                <w:color w:val="000000"/>
                <w:sz w:val="18"/>
                <w:szCs w:val="18"/>
              </w:rPr>
            </w:pPr>
            <w:r>
              <w:rPr>
                <w:rFonts w:ascii="Arial" w:hAnsi="Arial" w:cs="Arial"/>
                <w:color w:val="000000"/>
                <w:kern w:val="0"/>
                <w:sz w:val="18"/>
                <w:szCs w:val="18"/>
                <w:lang w:bidi="ar"/>
              </w:rPr>
              <w:t xml:space="preserve">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blHeader/>
        </w:trPr>
        <w:tc>
          <w:tcPr>
            <w:tcW w:w="2376" w:type="dxa"/>
            <w:tcBorders>
              <w:left w:val="nil"/>
            </w:tcBorders>
          </w:tcPr>
          <w:p>
            <w:pPr>
              <w:rPr>
                <w:sz w:val="18"/>
                <w:szCs w:val="18"/>
              </w:rPr>
            </w:pPr>
            <w:r>
              <w:rPr>
                <w:rFonts w:hint="eastAsia"/>
                <w:sz w:val="18"/>
                <w:szCs w:val="18"/>
              </w:rPr>
              <w:t>四、账面价值</w:t>
            </w:r>
          </w:p>
        </w:tc>
        <w:tc>
          <w:tcPr>
            <w:tcW w:w="1418" w:type="dxa"/>
            <w:vAlign w:val="center"/>
          </w:tcPr>
          <w:p>
            <w:pPr>
              <w:jc w:val="right"/>
              <w:rPr>
                <w:rFonts w:ascii="Arial Narrow" w:hAnsi="Arial Narrow"/>
                <w:color w:val="000000"/>
                <w:sz w:val="18"/>
                <w:szCs w:val="18"/>
              </w:rPr>
            </w:pPr>
          </w:p>
        </w:tc>
        <w:tc>
          <w:tcPr>
            <w:tcW w:w="1276" w:type="dxa"/>
            <w:vAlign w:val="center"/>
          </w:tcPr>
          <w:p>
            <w:pPr>
              <w:jc w:val="right"/>
              <w:rPr>
                <w:rFonts w:ascii="Arial Narrow" w:hAnsi="Arial Narrow"/>
                <w:color w:val="000000"/>
                <w:sz w:val="18"/>
                <w:szCs w:val="18"/>
              </w:rPr>
            </w:pPr>
          </w:p>
        </w:tc>
        <w:tc>
          <w:tcPr>
            <w:tcW w:w="1125" w:type="dxa"/>
            <w:vAlign w:val="center"/>
          </w:tcPr>
          <w:p>
            <w:pPr>
              <w:jc w:val="right"/>
              <w:rPr>
                <w:rFonts w:ascii="Arial Narrow" w:hAnsi="Arial Narrow"/>
                <w:color w:val="000000"/>
                <w:sz w:val="18"/>
                <w:szCs w:val="18"/>
              </w:rPr>
            </w:pPr>
          </w:p>
        </w:tc>
        <w:tc>
          <w:tcPr>
            <w:tcW w:w="1338" w:type="dxa"/>
            <w:vAlign w:val="center"/>
          </w:tcPr>
          <w:p>
            <w:pPr>
              <w:jc w:val="right"/>
              <w:rPr>
                <w:rFonts w:ascii="Arial" w:hAnsi="Arial" w:cs="Arial"/>
                <w:color w:val="000000"/>
                <w:sz w:val="18"/>
                <w:szCs w:val="18"/>
              </w:rPr>
            </w:pPr>
          </w:p>
        </w:tc>
        <w:tc>
          <w:tcPr>
            <w:tcW w:w="1222" w:type="dxa"/>
            <w:tcBorders>
              <w:right w:val="nil"/>
            </w:tcBorders>
            <w:vAlign w:val="center"/>
          </w:tcPr>
          <w:p>
            <w:pPr>
              <w:widowControl/>
              <w:jc w:val="right"/>
              <w:textAlignment w:val="center"/>
              <w:rPr>
                <w:rFonts w:ascii="Arial" w:hAnsi="Arial" w:cs="Arial"/>
                <w:color w:val="000000"/>
                <w:sz w:val="18"/>
                <w:szCs w:val="18"/>
              </w:rPr>
            </w:pPr>
            <w:r>
              <w:rPr>
                <w:rFonts w:ascii="Arial" w:hAnsi="Arial" w:cs="Arial"/>
                <w:color w:val="000000"/>
                <w:kern w:val="0"/>
                <w:sz w:val="18"/>
                <w:szCs w:val="18"/>
                <w:lang w:bidi="ar"/>
              </w:rPr>
              <w:t xml:space="preserve">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blHeader/>
        </w:trPr>
        <w:tc>
          <w:tcPr>
            <w:tcW w:w="2376" w:type="dxa"/>
            <w:tcBorders>
              <w:left w:val="nil"/>
            </w:tcBorders>
          </w:tcPr>
          <w:p>
            <w:pPr>
              <w:ind w:firstLine="360" w:firstLineChars="200"/>
              <w:rPr>
                <w:sz w:val="18"/>
                <w:szCs w:val="18"/>
              </w:rPr>
            </w:pPr>
            <w:r>
              <w:rPr>
                <w:rFonts w:hint="eastAsia"/>
                <w:sz w:val="18"/>
                <w:szCs w:val="18"/>
              </w:rPr>
              <w:t>1.期末账面价值</w:t>
            </w:r>
          </w:p>
        </w:tc>
        <w:tc>
          <w:tcPr>
            <w:tcW w:w="1418" w:type="dxa"/>
            <w:vAlign w:val="center"/>
          </w:tcPr>
          <w:p>
            <w:pPr>
              <w:jc w:val="right"/>
              <w:rPr>
                <w:rFonts w:ascii="Arial Narrow" w:hAnsi="Arial Narrow"/>
                <w:color w:val="000000"/>
                <w:sz w:val="18"/>
                <w:szCs w:val="18"/>
              </w:rPr>
            </w:pPr>
          </w:p>
        </w:tc>
        <w:tc>
          <w:tcPr>
            <w:tcW w:w="1276" w:type="dxa"/>
            <w:vAlign w:val="center"/>
          </w:tcPr>
          <w:p>
            <w:pPr>
              <w:jc w:val="right"/>
              <w:rPr>
                <w:rFonts w:ascii="Arial Narrow" w:hAnsi="Arial Narrow"/>
                <w:color w:val="000000"/>
                <w:sz w:val="18"/>
                <w:szCs w:val="18"/>
              </w:rPr>
            </w:pPr>
          </w:p>
        </w:tc>
        <w:tc>
          <w:tcPr>
            <w:tcW w:w="1125" w:type="dxa"/>
            <w:vAlign w:val="center"/>
          </w:tcPr>
          <w:p>
            <w:pPr>
              <w:jc w:val="right"/>
              <w:rPr>
                <w:rFonts w:ascii="Arial Narrow" w:hAnsi="Arial Narrow"/>
                <w:color w:val="000000"/>
                <w:sz w:val="18"/>
                <w:szCs w:val="18"/>
              </w:rPr>
            </w:pPr>
          </w:p>
        </w:tc>
        <w:tc>
          <w:tcPr>
            <w:tcW w:w="1338" w:type="dxa"/>
            <w:vAlign w:val="center"/>
          </w:tcPr>
          <w:p>
            <w:pPr>
              <w:widowControl/>
              <w:jc w:val="right"/>
              <w:textAlignment w:val="center"/>
              <w:rPr>
                <w:rFonts w:ascii="Arial" w:hAnsi="Arial" w:cs="Arial"/>
                <w:color w:val="000000"/>
                <w:sz w:val="18"/>
                <w:szCs w:val="18"/>
              </w:rPr>
            </w:pPr>
            <w:r>
              <w:rPr>
                <w:rFonts w:ascii="Arial" w:hAnsi="Arial" w:cs="Arial"/>
                <w:color w:val="000000"/>
                <w:kern w:val="0"/>
                <w:sz w:val="18"/>
                <w:szCs w:val="18"/>
                <w:lang w:bidi="ar"/>
              </w:rPr>
              <w:t xml:space="preserve"> 16,417.22 </w:t>
            </w:r>
          </w:p>
        </w:tc>
        <w:tc>
          <w:tcPr>
            <w:tcW w:w="1222" w:type="dxa"/>
            <w:tcBorders>
              <w:right w:val="nil"/>
            </w:tcBorders>
            <w:vAlign w:val="center"/>
          </w:tcPr>
          <w:p>
            <w:pPr>
              <w:widowControl/>
              <w:jc w:val="right"/>
              <w:textAlignment w:val="center"/>
              <w:rPr>
                <w:rFonts w:ascii="Arial" w:hAnsi="Arial" w:cs="Arial"/>
                <w:color w:val="000000"/>
                <w:sz w:val="18"/>
                <w:szCs w:val="18"/>
              </w:rPr>
            </w:pPr>
            <w:r>
              <w:rPr>
                <w:rFonts w:ascii="Arial" w:hAnsi="Arial" w:cs="Arial"/>
                <w:color w:val="000000"/>
                <w:kern w:val="0"/>
                <w:sz w:val="18"/>
                <w:szCs w:val="18"/>
                <w:lang w:bidi="ar"/>
              </w:rPr>
              <w:t xml:space="preserve"> 16,417.22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blHeader/>
        </w:trPr>
        <w:tc>
          <w:tcPr>
            <w:tcW w:w="2376" w:type="dxa"/>
            <w:tcBorders>
              <w:left w:val="nil"/>
              <w:bottom w:val="single" w:color="auto" w:sz="12" w:space="0"/>
            </w:tcBorders>
          </w:tcPr>
          <w:p>
            <w:pPr>
              <w:ind w:firstLine="360" w:firstLineChars="200"/>
              <w:rPr>
                <w:sz w:val="18"/>
                <w:szCs w:val="18"/>
              </w:rPr>
            </w:pPr>
            <w:r>
              <w:rPr>
                <w:rFonts w:hint="eastAsia"/>
                <w:sz w:val="18"/>
                <w:szCs w:val="18"/>
              </w:rPr>
              <w:t>2.期初账面价值</w:t>
            </w:r>
          </w:p>
        </w:tc>
        <w:tc>
          <w:tcPr>
            <w:tcW w:w="1418" w:type="dxa"/>
            <w:tcBorders>
              <w:bottom w:val="single" w:color="auto" w:sz="12" w:space="0"/>
            </w:tcBorders>
            <w:vAlign w:val="center"/>
          </w:tcPr>
          <w:p>
            <w:pPr>
              <w:jc w:val="right"/>
              <w:rPr>
                <w:rFonts w:ascii="Arial Narrow" w:hAnsi="Arial Narrow"/>
                <w:color w:val="000000"/>
                <w:sz w:val="18"/>
                <w:szCs w:val="18"/>
              </w:rPr>
            </w:pPr>
          </w:p>
        </w:tc>
        <w:tc>
          <w:tcPr>
            <w:tcW w:w="1276" w:type="dxa"/>
            <w:tcBorders>
              <w:bottom w:val="single" w:color="auto" w:sz="12" w:space="0"/>
            </w:tcBorders>
            <w:vAlign w:val="center"/>
          </w:tcPr>
          <w:p>
            <w:pPr>
              <w:jc w:val="right"/>
              <w:rPr>
                <w:rFonts w:ascii="Arial Narrow" w:hAnsi="Arial Narrow"/>
                <w:color w:val="000000"/>
                <w:sz w:val="18"/>
                <w:szCs w:val="18"/>
              </w:rPr>
            </w:pPr>
          </w:p>
        </w:tc>
        <w:tc>
          <w:tcPr>
            <w:tcW w:w="1125" w:type="dxa"/>
            <w:tcBorders>
              <w:bottom w:val="single" w:color="auto" w:sz="12" w:space="0"/>
            </w:tcBorders>
            <w:vAlign w:val="center"/>
          </w:tcPr>
          <w:p>
            <w:pPr>
              <w:jc w:val="right"/>
              <w:rPr>
                <w:rFonts w:ascii="Arial Narrow" w:hAnsi="Arial Narrow"/>
                <w:color w:val="000000"/>
                <w:sz w:val="18"/>
                <w:szCs w:val="18"/>
              </w:rPr>
            </w:pPr>
          </w:p>
        </w:tc>
        <w:tc>
          <w:tcPr>
            <w:tcW w:w="1338" w:type="dxa"/>
            <w:tcBorders>
              <w:bottom w:val="single" w:color="auto" w:sz="12" w:space="0"/>
            </w:tcBorders>
            <w:vAlign w:val="center"/>
          </w:tcPr>
          <w:p>
            <w:pPr>
              <w:widowControl/>
              <w:jc w:val="right"/>
              <w:textAlignment w:val="center"/>
              <w:rPr>
                <w:rFonts w:ascii="Arial" w:hAnsi="Arial" w:cs="Arial"/>
                <w:color w:val="000000"/>
                <w:sz w:val="18"/>
                <w:szCs w:val="18"/>
              </w:rPr>
            </w:pPr>
            <w:r>
              <w:rPr>
                <w:rFonts w:ascii="Arial" w:hAnsi="Arial" w:cs="Arial"/>
                <w:color w:val="000000"/>
                <w:kern w:val="0"/>
                <w:sz w:val="18"/>
                <w:szCs w:val="18"/>
                <w:lang w:bidi="ar"/>
              </w:rPr>
              <w:t xml:space="preserve"> 15,371.75 </w:t>
            </w:r>
          </w:p>
        </w:tc>
        <w:tc>
          <w:tcPr>
            <w:tcW w:w="1222" w:type="dxa"/>
            <w:tcBorders>
              <w:bottom w:val="single" w:color="auto" w:sz="12" w:space="0"/>
              <w:right w:val="nil"/>
            </w:tcBorders>
            <w:vAlign w:val="center"/>
          </w:tcPr>
          <w:p>
            <w:pPr>
              <w:widowControl/>
              <w:jc w:val="right"/>
              <w:textAlignment w:val="center"/>
              <w:rPr>
                <w:rFonts w:ascii="Arial" w:hAnsi="Arial" w:cs="Arial"/>
                <w:color w:val="000000"/>
                <w:sz w:val="18"/>
                <w:szCs w:val="18"/>
              </w:rPr>
            </w:pPr>
            <w:r>
              <w:rPr>
                <w:rFonts w:ascii="Arial" w:hAnsi="Arial" w:cs="Arial"/>
                <w:color w:val="000000"/>
                <w:kern w:val="0"/>
                <w:sz w:val="18"/>
                <w:szCs w:val="18"/>
                <w:lang w:bidi="ar"/>
              </w:rPr>
              <w:t xml:space="preserve"> 15,371.75 </w:t>
            </w:r>
          </w:p>
        </w:tc>
      </w:tr>
    </w:tbl>
    <w:p>
      <w:pPr>
        <w:numPr>
          <w:ilvl w:val="0"/>
          <w:numId w:val="7"/>
        </w:numPr>
        <w:spacing w:before="156" w:beforeLines="50" w:after="156" w:afterLines="50" w:line="460" w:lineRule="atLeast"/>
        <w:ind w:firstLine="420" w:firstLineChars="200"/>
        <w:rPr>
          <w:rFonts w:ascii="宋体" w:hAnsi="宋体"/>
          <w:kern w:val="0"/>
        </w:rPr>
      </w:pPr>
      <w:r>
        <w:rPr>
          <w:rFonts w:hint="eastAsia" w:ascii="宋体" w:hAnsi="宋体" w:cs="Arial"/>
        </w:rPr>
        <w:t>截</w:t>
      </w:r>
      <w:r>
        <w:rPr>
          <w:rFonts w:hint="eastAsia" w:ascii="宋体" w:hAnsi="宋体"/>
          <w:kern w:val="0"/>
        </w:rPr>
        <w:t>止</w:t>
      </w:r>
      <w:r>
        <w:rPr>
          <w:rFonts w:ascii="宋体" w:hAnsi="宋体"/>
          <w:kern w:val="0"/>
        </w:rPr>
        <w:t>201</w:t>
      </w:r>
      <w:r>
        <w:rPr>
          <w:rFonts w:hint="eastAsia" w:ascii="宋体" w:hAnsi="宋体"/>
          <w:kern w:val="0"/>
        </w:rPr>
        <w:t>7年</w:t>
      </w:r>
      <w:r>
        <w:rPr>
          <w:rFonts w:ascii="宋体" w:hAnsi="宋体"/>
          <w:kern w:val="0"/>
        </w:rPr>
        <w:t>12</w:t>
      </w:r>
      <w:r>
        <w:rPr>
          <w:rFonts w:hint="eastAsia" w:ascii="宋体" w:hAnsi="宋体"/>
          <w:kern w:val="0"/>
        </w:rPr>
        <w:t>月</w:t>
      </w:r>
      <w:r>
        <w:rPr>
          <w:rFonts w:ascii="宋体" w:hAnsi="宋体"/>
          <w:kern w:val="0"/>
        </w:rPr>
        <w:t>31</w:t>
      </w:r>
      <w:r>
        <w:rPr>
          <w:rFonts w:hint="eastAsia" w:ascii="宋体" w:hAnsi="宋体"/>
          <w:kern w:val="0"/>
        </w:rPr>
        <w:t>日，暂时闲置的固定资产情况</w:t>
      </w:r>
    </w:p>
    <w:p>
      <w:pPr>
        <w:spacing w:before="156" w:beforeLines="50" w:after="156" w:afterLines="50" w:line="460" w:lineRule="atLeast"/>
        <w:ind w:firstLine="420"/>
        <w:rPr>
          <w:rFonts w:ascii="宋体" w:hAnsi="宋体"/>
          <w:kern w:val="0"/>
        </w:rPr>
      </w:pPr>
      <w:r>
        <w:rPr>
          <w:rFonts w:hint="eastAsia" w:ascii="宋体" w:hAnsi="宋体"/>
          <w:kern w:val="0"/>
        </w:rPr>
        <w:t>无</w:t>
      </w:r>
    </w:p>
    <w:p>
      <w:pPr>
        <w:pStyle w:val="15"/>
        <w:numPr>
          <w:ilvl w:val="0"/>
          <w:numId w:val="6"/>
        </w:numPr>
        <w:tabs>
          <w:tab w:val="left" w:pos="426"/>
          <w:tab w:val="left" w:pos="851"/>
          <w:tab w:val="left" w:pos="1134"/>
          <w:tab w:val="left" w:pos="1276"/>
        </w:tabs>
        <w:snapToGrid w:val="0"/>
        <w:spacing w:after="156" w:afterLines="50" w:line="460" w:lineRule="atLeast"/>
        <w:ind w:left="840"/>
        <w:outlineLvl w:val="1"/>
        <w:rPr>
          <w:rFonts w:hAnsi="宋体" w:cs="Times New Roman"/>
          <w:bCs/>
          <w:snapToGrid w:val="0"/>
          <w:kern w:val="0"/>
        </w:rPr>
      </w:pPr>
      <w:r>
        <w:rPr>
          <w:rFonts w:hint="eastAsia" w:hAnsi="宋体" w:cs="Times New Roman"/>
          <w:bCs/>
          <w:snapToGrid w:val="0"/>
          <w:kern w:val="0"/>
        </w:rPr>
        <w:t>预收款项</w:t>
      </w:r>
    </w:p>
    <w:tbl>
      <w:tblPr>
        <w:tblStyle w:val="31"/>
        <w:tblW w:w="8614" w:type="dxa"/>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942"/>
        <w:gridCol w:w="2836"/>
        <w:gridCol w:w="2836"/>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blHeader/>
        </w:trPr>
        <w:tc>
          <w:tcPr>
            <w:tcW w:w="2942" w:type="dxa"/>
            <w:tcBorders>
              <w:top w:val="single" w:color="auto" w:sz="12" w:space="0"/>
              <w:left w:val="nil"/>
            </w:tcBorders>
            <w:vAlign w:val="center"/>
          </w:tcPr>
          <w:p>
            <w:pPr>
              <w:snapToGrid w:val="0"/>
              <w:jc w:val="center"/>
              <w:outlineLvl w:val="0"/>
              <w:rPr>
                <w:rFonts w:ascii="宋体" w:hAnsi="宋体"/>
                <w:snapToGrid w:val="0"/>
                <w:kern w:val="0"/>
                <w:sz w:val="18"/>
                <w:szCs w:val="18"/>
              </w:rPr>
            </w:pPr>
            <w:r>
              <w:rPr>
                <w:rFonts w:hint="eastAsia" w:ascii="宋体" w:hAnsi="宋体" w:cs="宋体"/>
                <w:snapToGrid w:val="0"/>
                <w:kern w:val="0"/>
                <w:sz w:val="18"/>
                <w:szCs w:val="18"/>
              </w:rPr>
              <w:t>项</w:t>
            </w:r>
            <w:r>
              <w:rPr>
                <w:rFonts w:ascii="宋体" w:hAnsi="宋体" w:cs="宋体"/>
                <w:snapToGrid w:val="0"/>
                <w:kern w:val="0"/>
                <w:sz w:val="18"/>
                <w:szCs w:val="18"/>
              </w:rPr>
              <w:t xml:space="preserve">    </w:t>
            </w:r>
            <w:r>
              <w:rPr>
                <w:rFonts w:hint="eastAsia" w:ascii="宋体" w:hAnsi="宋体" w:cs="宋体"/>
                <w:snapToGrid w:val="0"/>
                <w:kern w:val="0"/>
                <w:sz w:val="18"/>
                <w:szCs w:val="18"/>
              </w:rPr>
              <w:t>目</w:t>
            </w:r>
          </w:p>
        </w:tc>
        <w:tc>
          <w:tcPr>
            <w:tcW w:w="2836" w:type="dxa"/>
            <w:tcBorders>
              <w:top w:val="single" w:color="auto" w:sz="12" w:space="0"/>
            </w:tcBorders>
            <w:vAlign w:val="center"/>
          </w:tcPr>
          <w:p>
            <w:pPr>
              <w:snapToGrid w:val="0"/>
              <w:jc w:val="center"/>
              <w:outlineLvl w:val="0"/>
              <w:rPr>
                <w:rFonts w:ascii="宋体" w:hAnsi="宋体" w:cs="宋体"/>
                <w:snapToGrid w:val="0"/>
                <w:kern w:val="0"/>
                <w:sz w:val="18"/>
                <w:szCs w:val="18"/>
              </w:rPr>
            </w:pPr>
            <w:r>
              <w:rPr>
                <w:rFonts w:hint="eastAsia" w:ascii="宋体" w:hAnsi="宋体" w:cs="宋体"/>
                <w:snapToGrid w:val="0"/>
                <w:kern w:val="0"/>
                <w:sz w:val="18"/>
                <w:szCs w:val="18"/>
              </w:rPr>
              <w:t>期末余额</w:t>
            </w:r>
          </w:p>
        </w:tc>
        <w:tc>
          <w:tcPr>
            <w:tcW w:w="2836" w:type="dxa"/>
            <w:tcBorders>
              <w:top w:val="single" w:color="auto" w:sz="12" w:space="0"/>
              <w:right w:val="nil"/>
            </w:tcBorders>
            <w:vAlign w:val="center"/>
          </w:tcPr>
          <w:p>
            <w:pPr>
              <w:snapToGrid w:val="0"/>
              <w:jc w:val="center"/>
              <w:outlineLvl w:val="0"/>
              <w:rPr>
                <w:rFonts w:ascii="宋体" w:hAnsi="宋体" w:cs="宋体"/>
                <w:snapToGrid w:val="0"/>
                <w:kern w:val="0"/>
                <w:sz w:val="18"/>
                <w:szCs w:val="18"/>
              </w:rPr>
            </w:pPr>
            <w:r>
              <w:rPr>
                <w:rFonts w:hint="eastAsia" w:ascii="宋体" w:hAnsi="宋体" w:cs="宋体"/>
                <w:snapToGrid w:val="0"/>
                <w:kern w:val="0"/>
                <w:sz w:val="18"/>
                <w:szCs w:val="18"/>
              </w:rPr>
              <w:t>期初余额</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2942" w:type="dxa"/>
            <w:tcBorders>
              <w:left w:val="nil"/>
            </w:tcBorders>
            <w:vAlign w:val="center"/>
          </w:tcPr>
          <w:p>
            <w:pPr>
              <w:tabs>
                <w:tab w:val="right" w:pos="8222"/>
              </w:tabs>
              <w:snapToGrid w:val="0"/>
              <w:outlineLvl w:val="0"/>
              <w:rPr>
                <w:rFonts w:ascii="宋体" w:hAnsi="宋体" w:cs="Arial Narrow"/>
                <w:bCs/>
                <w:snapToGrid w:val="0"/>
                <w:kern w:val="0"/>
                <w:sz w:val="18"/>
                <w:szCs w:val="18"/>
              </w:rPr>
            </w:pPr>
            <w:r>
              <w:rPr>
                <w:rFonts w:ascii="宋体" w:hAnsi="宋体" w:cs="Arial Narrow"/>
                <w:snapToGrid w:val="0"/>
                <w:kern w:val="0"/>
                <w:sz w:val="18"/>
                <w:szCs w:val="18"/>
              </w:rPr>
              <w:t>1</w:t>
            </w:r>
            <w:r>
              <w:rPr>
                <w:rFonts w:hint="eastAsia" w:ascii="宋体" w:hAnsi="宋体" w:cs="宋体"/>
                <w:snapToGrid w:val="0"/>
                <w:kern w:val="0"/>
                <w:sz w:val="18"/>
                <w:szCs w:val="18"/>
              </w:rPr>
              <w:t>年以内（含1年）</w:t>
            </w:r>
          </w:p>
        </w:tc>
        <w:tc>
          <w:tcPr>
            <w:tcW w:w="2836" w:type="dxa"/>
            <w:vAlign w:val="center"/>
          </w:tcPr>
          <w:p>
            <w:pPr>
              <w:jc w:val="right"/>
              <w:rPr>
                <w:rFonts w:ascii="Arial" w:hAnsi="Arial" w:cs="Arial"/>
                <w:color w:val="000000"/>
                <w:sz w:val="18"/>
                <w:szCs w:val="18"/>
              </w:rPr>
            </w:pPr>
            <w:r>
              <w:rPr>
                <w:rFonts w:ascii="Arial" w:hAnsi="Arial" w:cs="Arial"/>
                <w:color w:val="000000"/>
                <w:sz w:val="18"/>
                <w:szCs w:val="18"/>
              </w:rPr>
              <w:t>42,098.00</w:t>
            </w:r>
          </w:p>
        </w:tc>
        <w:tc>
          <w:tcPr>
            <w:tcW w:w="2836" w:type="dxa"/>
            <w:tcBorders>
              <w:right w:val="nil"/>
            </w:tcBorders>
            <w:vAlign w:val="center"/>
          </w:tcPr>
          <w:p>
            <w:pPr>
              <w:jc w:val="right"/>
              <w:rPr>
                <w:rFonts w:ascii="Arial Narrow" w:hAnsi="Arial Narrow" w:cs="宋体"/>
                <w:color w:val="000000"/>
                <w:sz w:val="18"/>
                <w:szCs w:val="18"/>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2942" w:type="dxa"/>
            <w:tcBorders>
              <w:left w:val="nil"/>
            </w:tcBorders>
            <w:vAlign w:val="center"/>
          </w:tcPr>
          <w:p>
            <w:pPr>
              <w:tabs>
                <w:tab w:val="right" w:pos="8222"/>
              </w:tabs>
              <w:snapToGrid w:val="0"/>
              <w:outlineLvl w:val="0"/>
              <w:rPr>
                <w:rFonts w:ascii="宋体" w:hAnsi="宋体" w:cs="Arial Narrow"/>
                <w:snapToGrid w:val="0"/>
                <w:kern w:val="0"/>
                <w:sz w:val="18"/>
                <w:szCs w:val="18"/>
              </w:rPr>
            </w:pPr>
            <w:r>
              <w:rPr>
                <w:rFonts w:hint="eastAsia" w:ascii="宋体" w:hAnsi="宋体" w:cs="Arial Narrow"/>
                <w:snapToGrid w:val="0"/>
                <w:kern w:val="0"/>
                <w:sz w:val="18"/>
                <w:szCs w:val="18"/>
              </w:rPr>
              <w:t>1</w:t>
            </w:r>
            <w:r>
              <w:rPr>
                <w:rFonts w:hint="eastAsia" w:ascii="宋体" w:hAnsi="宋体" w:cs="宋体"/>
                <w:snapToGrid w:val="0"/>
                <w:kern w:val="0"/>
                <w:sz w:val="18"/>
                <w:szCs w:val="18"/>
              </w:rPr>
              <w:t>年以上</w:t>
            </w:r>
          </w:p>
        </w:tc>
        <w:tc>
          <w:tcPr>
            <w:tcW w:w="2836" w:type="dxa"/>
            <w:vAlign w:val="center"/>
          </w:tcPr>
          <w:p>
            <w:pPr>
              <w:jc w:val="right"/>
              <w:rPr>
                <w:rFonts w:ascii="Arial" w:hAnsi="Arial" w:cs="Arial"/>
                <w:color w:val="000000"/>
                <w:sz w:val="18"/>
                <w:szCs w:val="18"/>
              </w:rPr>
            </w:pPr>
          </w:p>
        </w:tc>
        <w:tc>
          <w:tcPr>
            <w:tcW w:w="2836" w:type="dxa"/>
            <w:tcBorders>
              <w:right w:val="nil"/>
            </w:tcBorders>
            <w:vAlign w:val="center"/>
          </w:tcPr>
          <w:p>
            <w:pPr>
              <w:jc w:val="right"/>
              <w:rPr>
                <w:rFonts w:ascii="Arial Narrow" w:hAnsi="Arial Narrow" w:cs="宋体"/>
                <w:color w:val="000000"/>
                <w:sz w:val="18"/>
                <w:szCs w:val="18"/>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2942" w:type="dxa"/>
            <w:tcBorders>
              <w:left w:val="nil"/>
              <w:bottom w:val="single" w:color="auto" w:sz="12" w:space="0"/>
            </w:tcBorders>
            <w:vAlign w:val="center"/>
          </w:tcPr>
          <w:p>
            <w:pPr>
              <w:snapToGrid w:val="0"/>
              <w:jc w:val="center"/>
              <w:outlineLvl w:val="0"/>
              <w:rPr>
                <w:rFonts w:ascii="宋体" w:hAnsi="宋体"/>
                <w:snapToGrid w:val="0"/>
                <w:kern w:val="0"/>
                <w:sz w:val="18"/>
                <w:szCs w:val="18"/>
              </w:rPr>
            </w:pPr>
            <w:r>
              <w:rPr>
                <w:rFonts w:hint="eastAsia" w:ascii="宋体" w:hAnsi="宋体" w:cs="宋体"/>
                <w:snapToGrid w:val="0"/>
                <w:kern w:val="0"/>
                <w:sz w:val="18"/>
                <w:szCs w:val="18"/>
              </w:rPr>
              <w:t>合</w:t>
            </w:r>
            <w:r>
              <w:rPr>
                <w:rFonts w:ascii="宋体" w:hAnsi="宋体" w:cs="宋体"/>
                <w:snapToGrid w:val="0"/>
                <w:kern w:val="0"/>
                <w:sz w:val="18"/>
                <w:szCs w:val="18"/>
              </w:rPr>
              <w:t xml:space="preserve">    </w:t>
            </w:r>
            <w:r>
              <w:rPr>
                <w:rFonts w:hint="eastAsia" w:ascii="宋体" w:hAnsi="宋体" w:cs="宋体"/>
                <w:snapToGrid w:val="0"/>
                <w:kern w:val="0"/>
                <w:sz w:val="18"/>
                <w:szCs w:val="18"/>
              </w:rPr>
              <w:t>计</w:t>
            </w:r>
          </w:p>
        </w:tc>
        <w:tc>
          <w:tcPr>
            <w:tcW w:w="2836" w:type="dxa"/>
            <w:tcBorders>
              <w:bottom w:val="single" w:color="auto" w:sz="12" w:space="0"/>
            </w:tcBorders>
            <w:vAlign w:val="center"/>
          </w:tcPr>
          <w:p>
            <w:pPr>
              <w:ind w:firstLine="360" w:firstLineChars="200"/>
              <w:jc w:val="right"/>
              <w:rPr>
                <w:rFonts w:ascii="Arial" w:hAnsi="Arial" w:cs="Arial"/>
                <w:sz w:val="18"/>
                <w:szCs w:val="18"/>
              </w:rPr>
            </w:pPr>
            <w:r>
              <w:rPr>
                <w:rFonts w:ascii="Arial" w:hAnsi="Arial" w:cs="Arial"/>
                <w:color w:val="000000"/>
                <w:sz w:val="18"/>
                <w:szCs w:val="18"/>
              </w:rPr>
              <w:t>42,098.00</w:t>
            </w:r>
          </w:p>
        </w:tc>
        <w:tc>
          <w:tcPr>
            <w:tcW w:w="2836" w:type="dxa"/>
            <w:tcBorders>
              <w:bottom w:val="single" w:color="auto" w:sz="12" w:space="0"/>
              <w:right w:val="nil"/>
            </w:tcBorders>
            <w:vAlign w:val="center"/>
          </w:tcPr>
          <w:p>
            <w:pPr>
              <w:ind w:firstLine="360" w:firstLineChars="200"/>
              <w:jc w:val="right"/>
              <w:rPr>
                <w:rFonts w:ascii="Arial Narrow" w:hAnsi="Arial Narrow"/>
                <w:sz w:val="18"/>
                <w:szCs w:val="18"/>
              </w:rPr>
            </w:pPr>
          </w:p>
        </w:tc>
      </w:tr>
    </w:tbl>
    <w:p>
      <w:pPr>
        <w:pStyle w:val="15"/>
        <w:numPr>
          <w:ilvl w:val="0"/>
          <w:numId w:val="6"/>
        </w:numPr>
        <w:tabs>
          <w:tab w:val="left" w:pos="426"/>
          <w:tab w:val="left" w:pos="851"/>
          <w:tab w:val="left" w:pos="1134"/>
          <w:tab w:val="left" w:pos="1276"/>
        </w:tabs>
        <w:snapToGrid w:val="0"/>
        <w:spacing w:line="460" w:lineRule="atLeast"/>
        <w:ind w:left="840"/>
        <w:outlineLvl w:val="1"/>
        <w:rPr>
          <w:rFonts w:hAnsi="宋体" w:cs="Times New Roman"/>
          <w:bCs/>
          <w:snapToGrid w:val="0"/>
          <w:kern w:val="0"/>
        </w:rPr>
      </w:pPr>
      <w:r>
        <w:rPr>
          <w:rFonts w:hint="eastAsia" w:hAnsi="宋体" w:cs="Times New Roman"/>
          <w:bCs/>
          <w:snapToGrid w:val="0"/>
          <w:kern w:val="0"/>
        </w:rPr>
        <w:t>应付职工薪酬</w:t>
      </w:r>
    </w:p>
    <w:p>
      <w:pPr>
        <w:pStyle w:val="15"/>
        <w:numPr>
          <w:ilvl w:val="0"/>
          <w:numId w:val="8"/>
        </w:numPr>
        <w:tabs>
          <w:tab w:val="left" w:pos="426"/>
          <w:tab w:val="left" w:pos="851"/>
          <w:tab w:val="left" w:pos="1134"/>
          <w:tab w:val="left" w:pos="1276"/>
        </w:tabs>
        <w:snapToGrid w:val="0"/>
        <w:spacing w:after="156" w:afterLines="50" w:line="460" w:lineRule="atLeast"/>
        <w:rPr>
          <w:rFonts w:hAnsi="宋体" w:cs="Times New Roman"/>
          <w:bCs/>
          <w:snapToGrid w:val="0"/>
          <w:kern w:val="0"/>
        </w:rPr>
      </w:pPr>
      <w:r>
        <w:rPr>
          <w:rFonts w:hint="eastAsia"/>
        </w:rPr>
        <w:t>应付职工薪酬分类列示</w:t>
      </w:r>
    </w:p>
    <w:tbl>
      <w:tblPr>
        <w:tblStyle w:val="31"/>
        <w:tblW w:w="8720" w:type="dxa"/>
        <w:jc w:val="center"/>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3286"/>
        <w:gridCol w:w="1359"/>
        <w:gridCol w:w="1359"/>
        <w:gridCol w:w="1359"/>
        <w:gridCol w:w="1357"/>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blHeader/>
          <w:jc w:val="center"/>
        </w:trPr>
        <w:tc>
          <w:tcPr>
            <w:tcW w:w="3286" w:type="dxa"/>
            <w:tcBorders>
              <w:top w:val="single" w:color="auto" w:sz="12" w:space="0"/>
            </w:tcBorders>
            <w:vAlign w:val="center"/>
          </w:tcPr>
          <w:p>
            <w:pPr>
              <w:snapToGrid w:val="0"/>
              <w:jc w:val="center"/>
              <w:rPr>
                <w:rFonts w:ascii="宋体" w:hAnsi="宋体"/>
                <w:snapToGrid w:val="0"/>
                <w:kern w:val="0"/>
                <w:sz w:val="18"/>
                <w:szCs w:val="18"/>
              </w:rPr>
            </w:pPr>
            <w:r>
              <w:rPr>
                <w:rFonts w:hint="eastAsia" w:ascii="宋体" w:hAnsi="宋体" w:cs="宋体"/>
                <w:snapToGrid w:val="0"/>
                <w:kern w:val="0"/>
                <w:sz w:val="18"/>
                <w:szCs w:val="18"/>
              </w:rPr>
              <w:t>项</w:t>
            </w:r>
            <w:r>
              <w:rPr>
                <w:rFonts w:ascii="宋体" w:hAnsi="宋体" w:cs="宋体"/>
                <w:snapToGrid w:val="0"/>
                <w:kern w:val="0"/>
                <w:sz w:val="18"/>
                <w:szCs w:val="18"/>
              </w:rPr>
              <w:t xml:space="preserve">     </w:t>
            </w:r>
            <w:r>
              <w:rPr>
                <w:rFonts w:hint="eastAsia" w:ascii="宋体" w:hAnsi="宋体" w:cs="宋体"/>
                <w:snapToGrid w:val="0"/>
                <w:kern w:val="0"/>
                <w:sz w:val="18"/>
                <w:szCs w:val="18"/>
              </w:rPr>
              <w:t>目</w:t>
            </w:r>
          </w:p>
        </w:tc>
        <w:tc>
          <w:tcPr>
            <w:tcW w:w="1359" w:type="dxa"/>
            <w:tcBorders>
              <w:top w:val="single" w:color="auto" w:sz="12" w:space="0"/>
            </w:tcBorders>
            <w:vAlign w:val="center"/>
          </w:tcPr>
          <w:p>
            <w:pPr>
              <w:snapToGrid w:val="0"/>
              <w:jc w:val="center"/>
              <w:rPr>
                <w:rFonts w:ascii="宋体" w:hAnsi="宋体"/>
                <w:snapToGrid w:val="0"/>
                <w:kern w:val="0"/>
                <w:sz w:val="18"/>
                <w:szCs w:val="18"/>
              </w:rPr>
            </w:pPr>
            <w:r>
              <w:rPr>
                <w:rFonts w:hint="eastAsia" w:ascii="宋体" w:hAnsi="宋体" w:cs="宋体"/>
                <w:snapToGrid w:val="0"/>
                <w:kern w:val="0"/>
                <w:sz w:val="18"/>
                <w:szCs w:val="18"/>
              </w:rPr>
              <w:t>期初余额</w:t>
            </w:r>
          </w:p>
        </w:tc>
        <w:tc>
          <w:tcPr>
            <w:tcW w:w="1359" w:type="dxa"/>
            <w:tcBorders>
              <w:top w:val="single" w:color="auto" w:sz="12" w:space="0"/>
            </w:tcBorders>
            <w:vAlign w:val="center"/>
          </w:tcPr>
          <w:p>
            <w:pPr>
              <w:snapToGrid w:val="0"/>
              <w:jc w:val="center"/>
              <w:rPr>
                <w:rFonts w:ascii="宋体" w:hAnsi="宋体"/>
                <w:snapToGrid w:val="0"/>
                <w:kern w:val="0"/>
                <w:sz w:val="18"/>
                <w:szCs w:val="18"/>
              </w:rPr>
            </w:pPr>
            <w:r>
              <w:rPr>
                <w:rFonts w:hint="eastAsia" w:ascii="宋体" w:hAnsi="宋体" w:cs="宋体"/>
                <w:snapToGrid w:val="0"/>
                <w:kern w:val="0"/>
                <w:sz w:val="18"/>
                <w:szCs w:val="18"/>
              </w:rPr>
              <w:t>本期增加额</w:t>
            </w:r>
          </w:p>
        </w:tc>
        <w:tc>
          <w:tcPr>
            <w:tcW w:w="1359" w:type="dxa"/>
            <w:tcBorders>
              <w:top w:val="single" w:color="auto" w:sz="12" w:space="0"/>
            </w:tcBorders>
            <w:vAlign w:val="center"/>
          </w:tcPr>
          <w:p>
            <w:pPr>
              <w:snapToGrid w:val="0"/>
              <w:jc w:val="center"/>
              <w:rPr>
                <w:rFonts w:ascii="宋体" w:hAnsi="宋体"/>
                <w:snapToGrid w:val="0"/>
                <w:kern w:val="0"/>
                <w:sz w:val="18"/>
                <w:szCs w:val="18"/>
              </w:rPr>
            </w:pPr>
            <w:r>
              <w:rPr>
                <w:rFonts w:hint="eastAsia" w:ascii="宋体" w:hAnsi="宋体" w:cs="宋体"/>
                <w:snapToGrid w:val="0"/>
                <w:kern w:val="0"/>
                <w:sz w:val="18"/>
                <w:szCs w:val="18"/>
              </w:rPr>
              <w:t>本期减少额</w:t>
            </w:r>
          </w:p>
        </w:tc>
        <w:tc>
          <w:tcPr>
            <w:tcW w:w="1357" w:type="dxa"/>
            <w:tcBorders>
              <w:top w:val="single" w:color="auto" w:sz="12" w:space="0"/>
            </w:tcBorders>
            <w:vAlign w:val="center"/>
          </w:tcPr>
          <w:p>
            <w:pPr>
              <w:snapToGrid w:val="0"/>
              <w:jc w:val="center"/>
              <w:rPr>
                <w:rFonts w:ascii="宋体" w:hAnsi="宋体"/>
                <w:snapToGrid w:val="0"/>
                <w:kern w:val="0"/>
                <w:sz w:val="18"/>
                <w:szCs w:val="18"/>
              </w:rPr>
            </w:pPr>
            <w:r>
              <w:rPr>
                <w:rFonts w:hint="eastAsia" w:ascii="宋体" w:hAnsi="宋体" w:cs="宋体"/>
                <w:snapToGrid w:val="0"/>
                <w:kern w:val="0"/>
                <w:sz w:val="18"/>
                <w:szCs w:val="18"/>
              </w:rPr>
              <w:t>期末余额</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3286" w:type="dxa"/>
          </w:tcPr>
          <w:p>
            <w:pPr>
              <w:jc w:val="left"/>
              <w:rPr>
                <w:kern w:val="0"/>
                <w:sz w:val="18"/>
                <w:szCs w:val="18"/>
              </w:rPr>
            </w:pPr>
            <w:r>
              <w:rPr>
                <w:rFonts w:hint="eastAsia"/>
                <w:kern w:val="0"/>
                <w:sz w:val="18"/>
                <w:szCs w:val="18"/>
              </w:rPr>
              <w:t>一、短期薪酬</w:t>
            </w:r>
          </w:p>
        </w:tc>
        <w:tc>
          <w:tcPr>
            <w:tcW w:w="1359" w:type="dxa"/>
            <w:vAlign w:val="center"/>
          </w:tcPr>
          <w:p>
            <w:pPr>
              <w:widowControl/>
              <w:jc w:val="right"/>
              <w:textAlignment w:val="center"/>
              <w:rPr>
                <w:rFonts w:ascii="Arial Narrow" w:hAnsi="Arial Narrow" w:cs="宋体"/>
                <w:color w:val="000000"/>
                <w:sz w:val="18"/>
                <w:szCs w:val="18"/>
              </w:rPr>
            </w:pPr>
            <w:r>
              <w:rPr>
                <w:rFonts w:ascii="Arial" w:hAnsi="Arial" w:cs="Arial"/>
                <w:color w:val="000000"/>
                <w:kern w:val="0"/>
                <w:sz w:val="18"/>
                <w:szCs w:val="18"/>
                <w:lang w:bidi="ar"/>
              </w:rPr>
              <w:t xml:space="preserve"> 95,853.72 </w:t>
            </w:r>
          </w:p>
        </w:tc>
        <w:tc>
          <w:tcPr>
            <w:tcW w:w="1359" w:type="dxa"/>
            <w:vAlign w:val="center"/>
          </w:tcPr>
          <w:p>
            <w:pPr>
              <w:widowControl/>
              <w:jc w:val="right"/>
              <w:textAlignment w:val="center"/>
              <w:rPr>
                <w:rFonts w:ascii="Arial Narrow" w:hAnsi="Arial Narrow"/>
                <w:color w:val="000000"/>
                <w:sz w:val="18"/>
                <w:szCs w:val="18"/>
              </w:rPr>
            </w:pPr>
            <w:r>
              <w:rPr>
                <w:rFonts w:ascii="Arial" w:hAnsi="Arial" w:cs="Arial"/>
                <w:color w:val="000000"/>
                <w:kern w:val="0"/>
                <w:sz w:val="18"/>
                <w:szCs w:val="18"/>
                <w:lang w:bidi="ar"/>
              </w:rPr>
              <w:t xml:space="preserve"> 513,440.91 </w:t>
            </w:r>
          </w:p>
        </w:tc>
        <w:tc>
          <w:tcPr>
            <w:tcW w:w="1359" w:type="dxa"/>
            <w:vAlign w:val="center"/>
          </w:tcPr>
          <w:p>
            <w:pPr>
              <w:widowControl/>
              <w:jc w:val="right"/>
              <w:textAlignment w:val="center"/>
              <w:rPr>
                <w:rFonts w:ascii="Arial Narrow" w:hAnsi="Arial Narrow"/>
                <w:color w:val="000000"/>
                <w:sz w:val="18"/>
                <w:szCs w:val="18"/>
              </w:rPr>
            </w:pPr>
            <w:r>
              <w:rPr>
                <w:rFonts w:ascii="Arial" w:hAnsi="Arial" w:cs="Arial"/>
                <w:color w:val="000000"/>
                <w:kern w:val="0"/>
                <w:sz w:val="18"/>
                <w:szCs w:val="18"/>
                <w:lang w:bidi="ar"/>
              </w:rPr>
              <w:t xml:space="preserve"> 457,845.45 </w:t>
            </w:r>
          </w:p>
        </w:tc>
        <w:tc>
          <w:tcPr>
            <w:tcW w:w="1357" w:type="dxa"/>
            <w:vAlign w:val="center"/>
          </w:tcPr>
          <w:p>
            <w:pPr>
              <w:widowControl/>
              <w:jc w:val="right"/>
              <w:textAlignment w:val="center"/>
              <w:rPr>
                <w:rFonts w:ascii="Arial Narrow" w:hAnsi="Arial Narrow"/>
                <w:color w:val="000000"/>
                <w:sz w:val="18"/>
                <w:szCs w:val="18"/>
              </w:rPr>
            </w:pPr>
            <w:r>
              <w:rPr>
                <w:rFonts w:ascii="Arial" w:hAnsi="Arial" w:cs="Arial"/>
                <w:color w:val="000000"/>
                <w:kern w:val="0"/>
                <w:sz w:val="18"/>
                <w:szCs w:val="18"/>
                <w:lang w:bidi="ar"/>
              </w:rPr>
              <w:t xml:space="preserve"> 151,449.18 </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3286" w:type="dxa"/>
          </w:tcPr>
          <w:p>
            <w:pPr>
              <w:rPr>
                <w:kern w:val="0"/>
                <w:sz w:val="18"/>
                <w:szCs w:val="18"/>
              </w:rPr>
            </w:pPr>
            <w:r>
              <w:rPr>
                <w:rFonts w:hint="eastAsia"/>
                <w:kern w:val="0"/>
                <w:sz w:val="18"/>
                <w:szCs w:val="18"/>
              </w:rPr>
              <w:t>二、离职后福利-设定提存计划</w:t>
            </w:r>
          </w:p>
        </w:tc>
        <w:tc>
          <w:tcPr>
            <w:tcW w:w="1359" w:type="dxa"/>
            <w:vAlign w:val="center"/>
          </w:tcPr>
          <w:p>
            <w:pPr>
              <w:jc w:val="right"/>
              <w:rPr>
                <w:rFonts w:ascii="Arial Narrow" w:hAnsi="Arial Narrow" w:cs="宋体"/>
                <w:color w:val="000000"/>
                <w:sz w:val="18"/>
                <w:szCs w:val="18"/>
              </w:rPr>
            </w:pPr>
          </w:p>
        </w:tc>
        <w:tc>
          <w:tcPr>
            <w:tcW w:w="1359" w:type="dxa"/>
            <w:vAlign w:val="center"/>
          </w:tcPr>
          <w:p>
            <w:pPr>
              <w:jc w:val="right"/>
              <w:rPr>
                <w:rFonts w:ascii="Arial Narrow" w:hAnsi="Arial Narrow"/>
                <w:color w:val="000000"/>
                <w:sz w:val="18"/>
                <w:szCs w:val="18"/>
              </w:rPr>
            </w:pPr>
          </w:p>
        </w:tc>
        <w:tc>
          <w:tcPr>
            <w:tcW w:w="1359" w:type="dxa"/>
            <w:vAlign w:val="center"/>
          </w:tcPr>
          <w:p>
            <w:pPr>
              <w:jc w:val="right"/>
              <w:rPr>
                <w:rFonts w:ascii="Arial Narrow" w:hAnsi="Arial Narrow"/>
                <w:color w:val="000000"/>
                <w:sz w:val="18"/>
                <w:szCs w:val="18"/>
              </w:rPr>
            </w:pPr>
          </w:p>
        </w:tc>
        <w:tc>
          <w:tcPr>
            <w:tcW w:w="1357" w:type="dxa"/>
            <w:vAlign w:val="center"/>
          </w:tcPr>
          <w:p>
            <w:pPr>
              <w:jc w:val="right"/>
              <w:rPr>
                <w:rFonts w:ascii="Arial Narrow" w:hAnsi="Arial Narrow"/>
                <w:color w:val="000000"/>
                <w:sz w:val="18"/>
                <w:szCs w:val="18"/>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3286" w:type="dxa"/>
          </w:tcPr>
          <w:p>
            <w:pPr>
              <w:jc w:val="center"/>
              <w:rPr>
                <w:kern w:val="0"/>
                <w:sz w:val="18"/>
                <w:szCs w:val="18"/>
              </w:rPr>
            </w:pPr>
            <w:r>
              <w:rPr>
                <w:rFonts w:hint="eastAsia"/>
                <w:kern w:val="0"/>
                <w:sz w:val="18"/>
                <w:szCs w:val="18"/>
              </w:rPr>
              <w:t>合  计</w:t>
            </w:r>
          </w:p>
        </w:tc>
        <w:tc>
          <w:tcPr>
            <w:tcW w:w="1359" w:type="dxa"/>
            <w:vAlign w:val="center"/>
          </w:tcPr>
          <w:p>
            <w:pPr>
              <w:widowControl/>
              <w:jc w:val="right"/>
              <w:textAlignment w:val="center"/>
              <w:rPr>
                <w:rFonts w:ascii="Arial Narrow" w:hAnsi="Arial Narrow" w:cs="宋体"/>
                <w:color w:val="000000"/>
                <w:sz w:val="18"/>
                <w:szCs w:val="18"/>
              </w:rPr>
            </w:pPr>
            <w:r>
              <w:rPr>
                <w:rFonts w:ascii="Arial" w:hAnsi="Arial" w:cs="Arial"/>
                <w:color w:val="000000"/>
                <w:kern w:val="0"/>
                <w:sz w:val="18"/>
                <w:szCs w:val="18"/>
                <w:lang w:bidi="ar"/>
              </w:rPr>
              <w:t xml:space="preserve"> 95,853.72 </w:t>
            </w:r>
          </w:p>
        </w:tc>
        <w:tc>
          <w:tcPr>
            <w:tcW w:w="1359" w:type="dxa"/>
            <w:vAlign w:val="center"/>
          </w:tcPr>
          <w:p>
            <w:pPr>
              <w:widowControl/>
              <w:jc w:val="right"/>
              <w:textAlignment w:val="center"/>
              <w:rPr>
                <w:rFonts w:ascii="Arial Narrow" w:hAnsi="Arial Narrow"/>
                <w:sz w:val="18"/>
                <w:szCs w:val="18"/>
              </w:rPr>
            </w:pPr>
            <w:r>
              <w:rPr>
                <w:rFonts w:ascii="Arial" w:hAnsi="Arial" w:cs="Arial"/>
                <w:color w:val="000000"/>
                <w:kern w:val="0"/>
                <w:sz w:val="18"/>
                <w:szCs w:val="18"/>
                <w:lang w:bidi="ar"/>
              </w:rPr>
              <w:t xml:space="preserve"> 513,440.91 </w:t>
            </w:r>
          </w:p>
        </w:tc>
        <w:tc>
          <w:tcPr>
            <w:tcW w:w="1359" w:type="dxa"/>
            <w:vAlign w:val="center"/>
          </w:tcPr>
          <w:p>
            <w:pPr>
              <w:widowControl/>
              <w:jc w:val="right"/>
              <w:textAlignment w:val="center"/>
              <w:rPr>
                <w:rFonts w:ascii="Arial Narrow" w:hAnsi="Arial Narrow"/>
                <w:sz w:val="18"/>
                <w:szCs w:val="18"/>
              </w:rPr>
            </w:pPr>
            <w:r>
              <w:rPr>
                <w:rFonts w:ascii="Arial" w:hAnsi="Arial" w:cs="Arial"/>
                <w:color w:val="000000"/>
                <w:kern w:val="0"/>
                <w:sz w:val="18"/>
                <w:szCs w:val="18"/>
                <w:lang w:bidi="ar"/>
              </w:rPr>
              <w:t xml:space="preserve"> 457,845.45 </w:t>
            </w:r>
          </w:p>
        </w:tc>
        <w:tc>
          <w:tcPr>
            <w:tcW w:w="1357" w:type="dxa"/>
            <w:vAlign w:val="center"/>
          </w:tcPr>
          <w:p>
            <w:pPr>
              <w:widowControl/>
              <w:jc w:val="right"/>
              <w:textAlignment w:val="center"/>
              <w:rPr>
                <w:rFonts w:ascii="Arial Narrow" w:hAnsi="Arial Narrow"/>
                <w:sz w:val="18"/>
                <w:szCs w:val="18"/>
              </w:rPr>
            </w:pPr>
            <w:r>
              <w:rPr>
                <w:rFonts w:ascii="Arial" w:hAnsi="Arial" w:cs="Arial"/>
                <w:color w:val="000000"/>
                <w:kern w:val="0"/>
                <w:sz w:val="18"/>
                <w:szCs w:val="18"/>
                <w:lang w:bidi="ar"/>
              </w:rPr>
              <w:t xml:space="preserve"> 151,449.18 </w:t>
            </w:r>
          </w:p>
        </w:tc>
      </w:tr>
    </w:tbl>
    <w:p>
      <w:pPr>
        <w:pStyle w:val="15"/>
        <w:numPr>
          <w:ilvl w:val="0"/>
          <w:numId w:val="8"/>
        </w:numPr>
        <w:tabs>
          <w:tab w:val="left" w:pos="426"/>
          <w:tab w:val="left" w:pos="851"/>
          <w:tab w:val="left" w:pos="1134"/>
          <w:tab w:val="left" w:pos="1276"/>
        </w:tabs>
        <w:snapToGrid w:val="0"/>
        <w:spacing w:after="156" w:afterLines="50" w:line="460" w:lineRule="atLeast"/>
      </w:pPr>
      <w:r>
        <w:rPr>
          <w:rFonts w:hint="eastAsia"/>
        </w:rPr>
        <w:t>短期职工薪酬情况</w:t>
      </w:r>
    </w:p>
    <w:tbl>
      <w:tblPr>
        <w:tblStyle w:val="32"/>
        <w:tblW w:w="876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65"/>
        <w:gridCol w:w="1568"/>
        <w:gridCol w:w="1253"/>
        <w:gridCol w:w="1377"/>
        <w:gridCol w:w="15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3065" w:type="dxa"/>
            <w:tcBorders>
              <w:top w:val="single" w:color="auto" w:sz="12" w:space="0"/>
              <w:left w:val="nil"/>
            </w:tcBorders>
          </w:tcPr>
          <w:p>
            <w:pPr>
              <w:jc w:val="center"/>
              <w:rPr>
                <w:kern w:val="0"/>
                <w:sz w:val="18"/>
                <w:szCs w:val="18"/>
              </w:rPr>
            </w:pPr>
            <w:r>
              <w:rPr>
                <w:rFonts w:hint="eastAsia" w:ascii="宋体" w:hAnsi="宋体" w:cs="宋体"/>
                <w:snapToGrid w:val="0"/>
                <w:kern w:val="0"/>
                <w:sz w:val="18"/>
                <w:szCs w:val="18"/>
              </w:rPr>
              <w:t>项</w:t>
            </w:r>
            <w:r>
              <w:rPr>
                <w:rFonts w:ascii="宋体" w:hAnsi="宋体" w:cs="宋体"/>
                <w:snapToGrid w:val="0"/>
                <w:kern w:val="0"/>
                <w:sz w:val="18"/>
                <w:szCs w:val="18"/>
              </w:rPr>
              <w:t xml:space="preserve">     </w:t>
            </w:r>
            <w:r>
              <w:rPr>
                <w:rFonts w:hint="eastAsia" w:ascii="宋体" w:hAnsi="宋体" w:cs="宋体"/>
                <w:snapToGrid w:val="0"/>
                <w:kern w:val="0"/>
                <w:sz w:val="18"/>
                <w:szCs w:val="18"/>
              </w:rPr>
              <w:t>目</w:t>
            </w:r>
          </w:p>
        </w:tc>
        <w:tc>
          <w:tcPr>
            <w:tcW w:w="1568" w:type="dxa"/>
            <w:tcBorders>
              <w:top w:val="single" w:color="auto" w:sz="12" w:space="0"/>
            </w:tcBorders>
          </w:tcPr>
          <w:p>
            <w:pPr>
              <w:jc w:val="center"/>
              <w:rPr>
                <w:kern w:val="0"/>
                <w:sz w:val="18"/>
                <w:szCs w:val="18"/>
              </w:rPr>
            </w:pPr>
            <w:r>
              <w:rPr>
                <w:rFonts w:hint="eastAsia"/>
                <w:sz w:val="18"/>
                <w:szCs w:val="18"/>
              </w:rPr>
              <w:t>期初余额</w:t>
            </w:r>
          </w:p>
        </w:tc>
        <w:tc>
          <w:tcPr>
            <w:tcW w:w="1253" w:type="dxa"/>
            <w:tcBorders>
              <w:top w:val="single" w:color="auto" w:sz="12" w:space="0"/>
            </w:tcBorders>
          </w:tcPr>
          <w:p>
            <w:pPr>
              <w:jc w:val="center"/>
              <w:rPr>
                <w:kern w:val="0"/>
                <w:sz w:val="18"/>
                <w:szCs w:val="18"/>
              </w:rPr>
            </w:pPr>
            <w:r>
              <w:rPr>
                <w:rFonts w:hint="eastAsia"/>
                <w:kern w:val="0"/>
                <w:sz w:val="18"/>
                <w:szCs w:val="18"/>
              </w:rPr>
              <w:t>本期增加</w:t>
            </w:r>
          </w:p>
        </w:tc>
        <w:tc>
          <w:tcPr>
            <w:tcW w:w="1377" w:type="dxa"/>
            <w:tcBorders>
              <w:top w:val="single" w:color="auto" w:sz="12" w:space="0"/>
            </w:tcBorders>
          </w:tcPr>
          <w:p>
            <w:pPr>
              <w:jc w:val="center"/>
              <w:rPr>
                <w:kern w:val="0"/>
                <w:sz w:val="18"/>
                <w:szCs w:val="18"/>
              </w:rPr>
            </w:pPr>
            <w:r>
              <w:rPr>
                <w:rFonts w:hint="eastAsia"/>
                <w:kern w:val="0"/>
                <w:sz w:val="18"/>
                <w:szCs w:val="18"/>
              </w:rPr>
              <w:t>本期减少</w:t>
            </w:r>
          </w:p>
        </w:tc>
        <w:tc>
          <w:tcPr>
            <w:tcW w:w="1503" w:type="dxa"/>
            <w:tcBorders>
              <w:top w:val="single" w:color="auto" w:sz="12" w:space="0"/>
              <w:right w:val="nil"/>
            </w:tcBorders>
          </w:tcPr>
          <w:p>
            <w:pPr>
              <w:jc w:val="center"/>
              <w:rPr>
                <w:kern w:val="0"/>
                <w:sz w:val="18"/>
                <w:szCs w:val="18"/>
              </w:rPr>
            </w:pPr>
            <w:r>
              <w:rPr>
                <w:rFonts w:hint="eastAsia"/>
                <w:kern w:val="0"/>
                <w:sz w:val="18"/>
                <w:szCs w:val="18"/>
              </w:rPr>
              <w:t>期末余额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3065" w:type="dxa"/>
            <w:tcBorders>
              <w:left w:val="nil"/>
            </w:tcBorders>
          </w:tcPr>
          <w:p>
            <w:pPr>
              <w:rPr>
                <w:kern w:val="0"/>
                <w:sz w:val="18"/>
                <w:szCs w:val="18"/>
              </w:rPr>
            </w:pPr>
            <w:r>
              <w:rPr>
                <w:rFonts w:hint="eastAsia"/>
                <w:kern w:val="0"/>
                <w:sz w:val="18"/>
                <w:szCs w:val="18"/>
              </w:rPr>
              <w:t>1</w:t>
            </w:r>
            <w:r>
              <w:rPr>
                <w:rFonts w:hint="eastAsia" w:ascii="宋体" w:hAnsi="宋体" w:cs="宋体"/>
                <w:bCs/>
                <w:snapToGrid w:val="0"/>
                <w:kern w:val="0"/>
                <w:sz w:val="18"/>
                <w:szCs w:val="18"/>
              </w:rPr>
              <w:t>.</w:t>
            </w:r>
            <w:r>
              <w:rPr>
                <w:rFonts w:hint="eastAsia"/>
                <w:kern w:val="0"/>
                <w:sz w:val="18"/>
                <w:szCs w:val="18"/>
              </w:rPr>
              <w:t>工资、奖金、津贴和补贴</w:t>
            </w:r>
          </w:p>
        </w:tc>
        <w:tc>
          <w:tcPr>
            <w:tcW w:w="1568" w:type="dxa"/>
            <w:vAlign w:val="center"/>
          </w:tcPr>
          <w:p>
            <w:pPr>
              <w:widowControl/>
              <w:jc w:val="right"/>
              <w:textAlignment w:val="center"/>
              <w:rPr>
                <w:rFonts w:ascii="Arial Narrow" w:hAnsi="Arial Narrow" w:cs="宋体"/>
                <w:color w:val="000000"/>
                <w:sz w:val="18"/>
                <w:szCs w:val="18"/>
              </w:rPr>
            </w:pPr>
            <w:r>
              <w:rPr>
                <w:rFonts w:ascii="Arial" w:hAnsi="Arial" w:cs="Arial"/>
                <w:color w:val="000000"/>
                <w:kern w:val="0"/>
                <w:sz w:val="18"/>
                <w:szCs w:val="18"/>
                <w:lang w:bidi="ar"/>
              </w:rPr>
              <w:t xml:space="preserve"> 83,970.00 </w:t>
            </w:r>
          </w:p>
        </w:tc>
        <w:tc>
          <w:tcPr>
            <w:tcW w:w="1253" w:type="dxa"/>
            <w:vAlign w:val="bottom"/>
          </w:tcPr>
          <w:p>
            <w:pPr>
              <w:widowControl/>
              <w:jc w:val="right"/>
              <w:textAlignment w:val="bottom"/>
              <w:rPr>
                <w:rFonts w:ascii="Arial Narrow" w:hAnsi="Arial Narrow"/>
                <w:color w:val="000000"/>
                <w:sz w:val="18"/>
                <w:szCs w:val="18"/>
              </w:rPr>
            </w:pPr>
            <w:r>
              <w:rPr>
                <w:rFonts w:ascii="Arial" w:hAnsi="Arial" w:cs="Arial"/>
                <w:color w:val="000000"/>
                <w:kern w:val="0"/>
                <w:sz w:val="18"/>
                <w:szCs w:val="18"/>
                <w:lang w:bidi="ar"/>
              </w:rPr>
              <w:t xml:space="preserve"> 424,950.35 </w:t>
            </w:r>
          </w:p>
        </w:tc>
        <w:tc>
          <w:tcPr>
            <w:tcW w:w="1377" w:type="dxa"/>
            <w:vAlign w:val="bottom"/>
          </w:tcPr>
          <w:p>
            <w:pPr>
              <w:widowControl/>
              <w:jc w:val="right"/>
              <w:textAlignment w:val="bottom"/>
              <w:rPr>
                <w:rFonts w:ascii="Arial Narrow" w:hAnsi="Arial Narrow"/>
                <w:color w:val="000000"/>
                <w:sz w:val="18"/>
                <w:szCs w:val="18"/>
              </w:rPr>
            </w:pPr>
            <w:r>
              <w:rPr>
                <w:rFonts w:ascii="Arial" w:hAnsi="Arial" w:cs="Arial"/>
                <w:color w:val="000000"/>
                <w:kern w:val="0"/>
                <w:sz w:val="18"/>
                <w:szCs w:val="18"/>
                <w:lang w:bidi="ar"/>
              </w:rPr>
              <w:t xml:space="preserve"> 369,354.89 </w:t>
            </w:r>
          </w:p>
        </w:tc>
        <w:tc>
          <w:tcPr>
            <w:tcW w:w="1503" w:type="dxa"/>
            <w:tcBorders>
              <w:right w:val="nil"/>
            </w:tcBorders>
            <w:vAlign w:val="center"/>
          </w:tcPr>
          <w:p>
            <w:pPr>
              <w:widowControl/>
              <w:jc w:val="right"/>
              <w:textAlignment w:val="center"/>
              <w:rPr>
                <w:rFonts w:ascii="Arial Narrow" w:hAnsi="Arial Narrow"/>
                <w:color w:val="000000"/>
                <w:sz w:val="18"/>
                <w:szCs w:val="18"/>
              </w:rPr>
            </w:pPr>
            <w:r>
              <w:rPr>
                <w:rFonts w:ascii="Arial" w:hAnsi="Arial" w:cs="Arial"/>
                <w:color w:val="000000"/>
                <w:kern w:val="0"/>
                <w:sz w:val="18"/>
                <w:szCs w:val="18"/>
                <w:lang w:bidi="ar"/>
              </w:rPr>
              <w:t xml:space="preserve"> 139,565.46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3065" w:type="dxa"/>
            <w:tcBorders>
              <w:left w:val="nil"/>
            </w:tcBorders>
          </w:tcPr>
          <w:p>
            <w:pPr>
              <w:rPr>
                <w:kern w:val="0"/>
                <w:sz w:val="18"/>
                <w:szCs w:val="18"/>
              </w:rPr>
            </w:pPr>
            <w:r>
              <w:rPr>
                <w:rFonts w:hint="eastAsia"/>
                <w:kern w:val="0"/>
                <w:sz w:val="18"/>
                <w:szCs w:val="18"/>
              </w:rPr>
              <w:t>2</w:t>
            </w:r>
            <w:r>
              <w:rPr>
                <w:rFonts w:hint="eastAsia" w:ascii="宋体" w:hAnsi="宋体" w:cs="宋体"/>
                <w:bCs/>
                <w:snapToGrid w:val="0"/>
                <w:kern w:val="0"/>
                <w:sz w:val="18"/>
                <w:szCs w:val="18"/>
              </w:rPr>
              <w:t>.</w:t>
            </w:r>
            <w:r>
              <w:rPr>
                <w:rFonts w:hint="eastAsia"/>
                <w:kern w:val="0"/>
                <w:sz w:val="18"/>
                <w:szCs w:val="18"/>
              </w:rPr>
              <w:t>职工福利费</w:t>
            </w:r>
          </w:p>
        </w:tc>
        <w:tc>
          <w:tcPr>
            <w:tcW w:w="1568" w:type="dxa"/>
            <w:vAlign w:val="center"/>
          </w:tcPr>
          <w:p>
            <w:pPr>
              <w:jc w:val="right"/>
              <w:rPr>
                <w:rFonts w:ascii="Arial Narrow" w:hAnsi="Arial Narrow" w:cs="宋体"/>
                <w:color w:val="000000"/>
                <w:sz w:val="18"/>
                <w:szCs w:val="18"/>
              </w:rPr>
            </w:pPr>
          </w:p>
        </w:tc>
        <w:tc>
          <w:tcPr>
            <w:tcW w:w="1253" w:type="dxa"/>
            <w:vAlign w:val="bottom"/>
          </w:tcPr>
          <w:p>
            <w:pPr>
              <w:widowControl/>
              <w:jc w:val="right"/>
              <w:textAlignment w:val="bottom"/>
              <w:rPr>
                <w:rFonts w:ascii="Arial Narrow" w:hAnsi="Arial Narrow"/>
                <w:color w:val="000000"/>
                <w:sz w:val="18"/>
                <w:szCs w:val="18"/>
              </w:rPr>
            </w:pPr>
            <w:r>
              <w:rPr>
                <w:rFonts w:ascii="Arial" w:hAnsi="Arial" w:cs="Arial"/>
                <w:color w:val="000000"/>
                <w:kern w:val="0"/>
                <w:sz w:val="18"/>
                <w:szCs w:val="18"/>
                <w:lang w:bidi="ar"/>
              </w:rPr>
              <w:t xml:space="preserve"> 9,000.00 </w:t>
            </w:r>
          </w:p>
        </w:tc>
        <w:tc>
          <w:tcPr>
            <w:tcW w:w="1377" w:type="dxa"/>
            <w:vAlign w:val="bottom"/>
          </w:tcPr>
          <w:p>
            <w:pPr>
              <w:widowControl/>
              <w:jc w:val="right"/>
              <w:textAlignment w:val="bottom"/>
              <w:rPr>
                <w:rFonts w:ascii="Arial Narrow" w:hAnsi="Arial Narrow"/>
                <w:color w:val="000000"/>
                <w:sz w:val="18"/>
                <w:szCs w:val="18"/>
              </w:rPr>
            </w:pPr>
            <w:r>
              <w:rPr>
                <w:rFonts w:ascii="Arial" w:hAnsi="Arial" w:cs="Arial"/>
                <w:color w:val="000000"/>
                <w:kern w:val="0"/>
                <w:sz w:val="18"/>
                <w:szCs w:val="18"/>
                <w:lang w:bidi="ar"/>
              </w:rPr>
              <w:t xml:space="preserve"> 9,000.00 </w:t>
            </w:r>
          </w:p>
        </w:tc>
        <w:tc>
          <w:tcPr>
            <w:tcW w:w="1503" w:type="dxa"/>
            <w:tcBorders>
              <w:right w:val="nil"/>
            </w:tcBorders>
            <w:vAlign w:val="center"/>
          </w:tcPr>
          <w:p>
            <w:pPr>
              <w:jc w:val="right"/>
              <w:rPr>
                <w:rFonts w:ascii="Arial Narrow" w:hAnsi="Arial Narrow"/>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3065" w:type="dxa"/>
            <w:tcBorders>
              <w:left w:val="nil"/>
            </w:tcBorders>
          </w:tcPr>
          <w:p>
            <w:pPr>
              <w:rPr>
                <w:kern w:val="0"/>
                <w:sz w:val="18"/>
                <w:szCs w:val="18"/>
              </w:rPr>
            </w:pPr>
            <w:r>
              <w:rPr>
                <w:rFonts w:hint="eastAsia"/>
                <w:kern w:val="0"/>
                <w:sz w:val="18"/>
                <w:szCs w:val="18"/>
              </w:rPr>
              <w:t>3</w:t>
            </w:r>
            <w:r>
              <w:rPr>
                <w:rFonts w:hint="eastAsia" w:ascii="宋体" w:hAnsi="宋体" w:cs="宋体"/>
                <w:bCs/>
                <w:snapToGrid w:val="0"/>
                <w:kern w:val="0"/>
                <w:sz w:val="18"/>
                <w:szCs w:val="18"/>
              </w:rPr>
              <w:t>.</w:t>
            </w:r>
            <w:r>
              <w:rPr>
                <w:rFonts w:hint="eastAsia"/>
                <w:kern w:val="0"/>
                <w:sz w:val="18"/>
                <w:szCs w:val="18"/>
              </w:rPr>
              <w:t>社会保险费</w:t>
            </w:r>
          </w:p>
        </w:tc>
        <w:tc>
          <w:tcPr>
            <w:tcW w:w="1568" w:type="dxa"/>
            <w:vAlign w:val="center"/>
          </w:tcPr>
          <w:p>
            <w:pPr>
              <w:jc w:val="right"/>
              <w:rPr>
                <w:rFonts w:ascii="Arial Narrow" w:hAnsi="Arial Narrow" w:cs="宋体"/>
                <w:color w:val="000000"/>
                <w:sz w:val="18"/>
                <w:szCs w:val="18"/>
              </w:rPr>
            </w:pPr>
          </w:p>
        </w:tc>
        <w:tc>
          <w:tcPr>
            <w:tcW w:w="1253" w:type="dxa"/>
            <w:vAlign w:val="bottom"/>
          </w:tcPr>
          <w:p>
            <w:pPr>
              <w:widowControl/>
              <w:jc w:val="right"/>
              <w:textAlignment w:val="bottom"/>
              <w:rPr>
                <w:rFonts w:ascii="Arial Narrow" w:hAnsi="Arial Narrow"/>
                <w:color w:val="000000"/>
                <w:sz w:val="18"/>
                <w:szCs w:val="18"/>
              </w:rPr>
            </w:pPr>
            <w:r>
              <w:rPr>
                <w:rFonts w:ascii="Arial" w:hAnsi="Arial" w:cs="Arial"/>
                <w:color w:val="000000"/>
                <w:kern w:val="0"/>
                <w:sz w:val="18"/>
                <w:szCs w:val="18"/>
                <w:lang w:bidi="ar"/>
              </w:rPr>
              <w:t xml:space="preserve"> 47,600.56 </w:t>
            </w:r>
          </w:p>
        </w:tc>
        <w:tc>
          <w:tcPr>
            <w:tcW w:w="1377" w:type="dxa"/>
            <w:vAlign w:val="bottom"/>
          </w:tcPr>
          <w:p>
            <w:pPr>
              <w:widowControl/>
              <w:jc w:val="right"/>
              <w:textAlignment w:val="bottom"/>
              <w:rPr>
                <w:rFonts w:ascii="Arial Narrow" w:hAnsi="Arial Narrow"/>
                <w:color w:val="000000"/>
                <w:sz w:val="18"/>
                <w:szCs w:val="18"/>
              </w:rPr>
            </w:pPr>
            <w:r>
              <w:rPr>
                <w:rFonts w:ascii="Arial" w:hAnsi="Arial" w:cs="Arial"/>
                <w:color w:val="000000"/>
                <w:kern w:val="0"/>
                <w:sz w:val="18"/>
                <w:szCs w:val="18"/>
                <w:lang w:bidi="ar"/>
              </w:rPr>
              <w:t xml:space="preserve"> 47,600.56 </w:t>
            </w:r>
          </w:p>
        </w:tc>
        <w:tc>
          <w:tcPr>
            <w:tcW w:w="1503" w:type="dxa"/>
            <w:tcBorders>
              <w:right w:val="nil"/>
            </w:tcBorders>
            <w:vAlign w:val="center"/>
          </w:tcPr>
          <w:p>
            <w:pPr>
              <w:jc w:val="right"/>
              <w:rPr>
                <w:rFonts w:ascii="Arial Narrow" w:hAnsi="Arial Narrow"/>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3065" w:type="dxa"/>
            <w:tcBorders>
              <w:left w:val="nil"/>
            </w:tcBorders>
          </w:tcPr>
          <w:p>
            <w:pPr>
              <w:rPr>
                <w:sz w:val="18"/>
                <w:szCs w:val="18"/>
              </w:rPr>
            </w:pPr>
            <w:r>
              <w:rPr>
                <w:rFonts w:hint="eastAsia"/>
                <w:sz w:val="18"/>
                <w:szCs w:val="18"/>
              </w:rPr>
              <w:t xml:space="preserve">   其中： 医疗保险费</w:t>
            </w:r>
          </w:p>
        </w:tc>
        <w:tc>
          <w:tcPr>
            <w:tcW w:w="1568" w:type="dxa"/>
            <w:vAlign w:val="center"/>
          </w:tcPr>
          <w:p>
            <w:pPr>
              <w:jc w:val="right"/>
              <w:rPr>
                <w:rFonts w:ascii="Arial Narrow" w:hAnsi="Arial Narrow" w:cs="宋体"/>
                <w:color w:val="000000"/>
                <w:sz w:val="18"/>
                <w:szCs w:val="18"/>
              </w:rPr>
            </w:pPr>
          </w:p>
        </w:tc>
        <w:tc>
          <w:tcPr>
            <w:tcW w:w="1253" w:type="dxa"/>
            <w:vAlign w:val="bottom"/>
          </w:tcPr>
          <w:p>
            <w:pPr>
              <w:jc w:val="right"/>
              <w:rPr>
                <w:rFonts w:ascii="Arial Narrow" w:hAnsi="Arial Narrow"/>
                <w:color w:val="000000"/>
                <w:sz w:val="18"/>
                <w:szCs w:val="18"/>
              </w:rPr>
            </w:pPr>
          </w:p>
        </w:tc>
        <w:tc>
          <w:tcPr>
            <w:tcW w:w="1377" w:type="dxa"/>
            <w:vAlign w:val="bottom"/>
          </w:tcPr>
          <w:p>
            <w:pPr>
              <w:jc w:val="right"/>
              <w:rPr>
                <w:rFonts w:ascii="Arial Narrow" w:hAnsi="Arial Narrow"/>
                <w:color w:val="000000"/>
                <w:sz w:val="18"/>
                <w:szCs w:val="18"/>
              </w:rPr>
            </w:pPr>
          </w:p>
        </w:tc>
        <w:tc>
          <w:tcPr>
            <w:tcW w:w="1503" w:type="dxa"/>
            <w:tcBorders>
              <w:right w:val="nil"/>
            </w:tcBorders>
            <w:vAlign w:val="center"/>
          </w:tcPr>
          <w:p>
            <w:pPr>
              <w:jc w:val="right"/>
              <w:rPr>
                <w:rFonts w:ascii="Arial Narrow" w:hAnsi="Arial Narrow"/>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3065" w:type="dxa"/>
            <w:tcBorders>
              <w:left w:val="nil"/>
            </w:tcBorders>
          </w:tcPr>
          <w:p>
            <w:pPr>
              <w:rPr>
                <w:sz w:val="18"/>
                <w:szCs w:val="18"/>
              </w:rPr>
            </w:pPr>
            <w:r>
              <w:rPr>
                <w:rFonts w:hint="eastAsia"/>
                <w:sz w:val="18"/>
                <w:szCs w:val="18"/>
              </w:rPr>
              <w:t xml:space="preserve">          工伤保险费</w:t>
            </w:r>
          </w:p>
        </w:tc>
        <w:tc>
          <w:tcPr>
            <w:tcW w:w="1568" w:type="dxa"/>
            <w:vAlign w:val="center"/>
          </w:tcPr>
          <w:p>
            <w:pPr>
              <w:jc w:val="right"/>
              <w:rPr>
                <w:rFonts w:ascii="Arial Narrow" w:hAnsi="Arial Narrow" w:cs="宋体"/>
                <w:color w:val="000000"/>
                <w:sz w:val="18"/>
                <w:szCs w:val="18"/>
              </w:rPr>
            </w:pPr>
          </w:p>
        </w:tc>
        <w:tc>
          <w:tcPr>
            <w:tcW w:w="1253" w:type="dxa"/>
            <w:vAlign w:val="bottom"/>
          </w:tcPr>
          <w:p>
            <w:pPr>
              <w:jc w:val="right"/>
              <w:rPr>
                <w:rFonts w:ascii="Arial Narrow" w:hAnsi="Arial Narrow"/>
                <w:color w:val="000000"/>
                <w:sz w:val="18"/>
                <w:szCs w:val="18"/>
              </w:rPr>
            </w:pPr>
          </w:p>
        </w:tc>
        <w:tc>
          <w:tcPr>
            <w:tcW w:w="1377" w:type="dxa"/>
            <w:vAlign w:val="bottom"/>
          </w:tcPr>
          <w:p>
            <w:pPr>
              <w:jc w:val="right"/>
              <w:rPr>
                <w:rFonts w:ascii="Arial Narrow" w:hAnsi="Arial Narrow"/>
                <w:color w:val="000000"/>
                <w:sz w:val="18"/>
                <w:szCs w:val="18"/>
              </w:rPr>
            </w:pPr>
          </w:p>
        </w:tc>
        <w:tc>
          <w:tcPr>
            <w:tcW w:w="1503" w:type="dxa"/>
            <w:tcBorders>
              <w:right w:val="nil"/>
            </w:tcBorders>
            <w:vAlign w:val="center"/>
          </w:tcPr>
          <w:p>
            <w:pPr>
              <w:jc w:val="right"/>
              <w:rPr>
                <w:rFonts w:ascii="Arial Narrow" w:hAnsi="Arial Narrow"/>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3065" w:type="dxa"/>
            <w:tcBorders>
              <w:left w:val="nil"/>
            </w:tcBorders>
          </w:tcPr>
          <w:p>
            <w:pPr>
              <w:rPr>
                <w:kern w:val="0"/>
                <w:sz w:val="18"/>
                <w:szCs w:val="18"/>
              </w:rPr>
            </w:pPr>
            <w:r>
              <w:rPr>
                <w:rFonts w:hint="eastAsia"/>
                <w:kern w:val="0"/>
                <w:sz w:val="18"/>
                <w:szCs w:val="18"/>
              </w:rPr>
              <w:t>4</w:t>
            </w:r>
            <w:r>
              <w:rPr>
                <w:rFonts w:hint="eastAsia" w:ascii="宋体" w:hAnsi="宋体" w:cs="宋体"/>
                <w:bCs/>
                <w:snapToGrid w:val="0"/>
                <w:kern w:val="0"/>
                <w:sz w:val="18"/>
                <w:szCs w:val="18"/>
              </w:rPr>
              <w:t>.</w:t>
            </w:r>
            <w:r>
              <w:rPr>
                <w:rFonts w:hint="eastAsia"/>
                <w:kern w:val="0"/>
                <w:sz w:val="18"/>
                <w:szCs w:val="18"/>
              </w:rPr>
              <w:t>住房公积金</w:t>
            </w:r>
          </w:p>
        </w:tc>
        <w:tc>
          <w:tcPr>
            <w:tcW w:w="1568" w:type="dxa"/>
            <w:vAlign w:val="center"/>
          </w:tcPr>
          <w:p>
            <w:pPr>
              <w:jc w:val="right"/>
              <w:rPr>
                <w:rFonts w:ascii="Arial Narrow" w:hAnsi="Arial Narrow" w:cs="宋体"/>
                <w:color w:val="000000"/>
                <w:sz w:val="18"/>
                <w:szCs w:val="18"/>
              </w:rPr>
            </w:pPr>
          </w:p>
        </w:tc>
        <w:tc>
          <w:tcPr>
            <w:tcW w:w="1253" w:type="dxa"/>
          </w:tcPr>
          <w:p>
            <w:pPr>
              <w:widowControl/>
              <w:jc w:val="right"/>
              <w:textAlignment w:val="top"/>
              <w:rPr>
                <w:rFonts w:ascii="Arial Narrow" w:hAnsi="Arial Narrow"/>
                <w:color w:val="000000"/>
                <w:sz w:val="18"/>
                <w:szCs w:val="18"/>
              </w:rPr>
            </w:pPr>
            <w:r>
              <w:rPr>
                <w:rFonts w:ascii="Arial" w:hAnsi="Arial" w:cs="Arial"/>
                <w:color w:val="000000"/>
                <w:kern w:val="0"/>
                <w:sz w:val="18"/>
                <w:szCs w:val="18"/>
                <w:lang w:bidi="ar"/>
              </w:rPr>
              <w:t xml:space="preserve"> 31,890.00 </w:t>
            </w:r>
          </w:p>
        </w:tc>
        <w:tc>
          <w:tcPr>
            <w:tcW w:w="1377" w:type="dxa"/>
          </w:tcPr>
          <w:p>
            <w:pPr>
              <w:widowControl/>
              <w:jc w:val="right"/>
              <w:textAlignment w:val="top"/>
              <w:rPr>
                <w:rFonts w:ascii="Arial Narrow" w:hAnsi="Arial Narrow"/>
                <w:color w:val="000000"/>
                <w:sz w:val="18"/>
                <w:szCs w:val="18"/>
              </w:rPr>
            </w:pPr>
            <w:r>
              <w:rPr>
                <w:rFonts w:ascii="Arial" w:hAnsi="Arial" w:cs="Arial"/>
                <w:color w:val="000000"/>
                <w:kern w:val="0"/>
                <w:sz w:val="18"/>
                <w:szCs w:val="18"/>
                <w:lang w:bidi="ar"/>
              </w:rPr>
              <w:t xml:space="preserve"> 31,890.00 </w:t>
            </w:r>
          </w:p>
        </w:tc>
        <w:tc>
          <w:tcPr>
            <w:tcW w:w="1503" w:type="dxa"/>
            <w:tcBorders>
              <w:right w:val="nil"/>
            </w:tcBorders>
          </w:tcPr>
          <w:p>
            <w:pPr>
              <w:jc w:val="right"/>
              <w:rPr>
                <w:rFonts w:ascii="Arial Narrow" w:hAnsi="Arial Narrow"/>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3065" w:type="dxa"/>
            <w:tcBorders>
              <w:left w:val="nil"/>
            </w:tcBorders>
          </w:tcPr>
          <w:p>
            <w:pPr>
              <w:rPr>
                <w:kern w:val="0"/>
                <w:sz w:val="18"/>
                <w:szCs w:val="18"/>
              </w:rPr>
            </w:pPr>
            <w:r>
              <w:rPr>
                <w:rFonts w:hint="eastAsia"/>
                <w:kern w:val="0"/>
                <w:sz w:val="18"/>
                <w:szCs w:val="18"/>
              </w:rPr>
              <w:t>5</w:t>
            </w:r>
            <w:r>
              <w:rPr>
                <w:rFonts w:hint="eastAsia" w:ascii="宋体" w:hAnsi="宋体" w:cs="宋体"/>
                <w:bCs/>
                <w:snapToGrid w:val="0"/>
                <w:kern w:val="0"/>
                <w:sz w:val="18"/>
                <w:szCs w:val="18"/>
              </w:rPr>
              <w:t>.</w:t>
            </w:r>
            <w:r>
              <w:rPr>
                <w:rFonts w:hint="eastAsia"/>
                <w:kern w:val="0"/>
                <w:sz w:val="18"/>
                <w:szCs w:val="18"/>
              </w:rPr>
              <w:t>工会经费和职工教育经费</w:t>
            </w:r>
          </w:p>
        </w:tc>
        <w:tc>
          <w:tcPr>
            <w:tcW w:w="1568" w:type="dxa"/>
            <w:vAlign w:val="center"/>
          </w:tcPr>
          <w:p>
            <w:pPr>
              <w:widowControl/>
              <w:jc w:val="right"/>
              <w:textAlignment w:val="center"/>
              <w:rPr>
                <w:rFonts w:ascii="Arial Narrow" w:hAnsi="Arial Narrow" w:cs="宋体"/>
                <w:color w:val="000000"/>
                <w:sz w:val="18"/>
                <w:szCs w:val="18"/>
              </w:rPr>
            </w:pPr>
            <w:r>
              <w:rPr>
                <w:rFonts w:ascii="Arial" w:hAnsi="Arial" w:cs="Arial"/>
                <w:color w:val="000000"/>
                <w:kern w:val="0"/>
                <w:sz w:val="18"/>
                <w:szCs w:val="18"/>
                <w:lang w:bidi="ar"/>
              </w:rPr>
              <w:t xml:space="preserve"> 11,883.72 </w:t>
            </w:r>
          </w:p>
        </w:tc>
        <w:tc>
          <w:tcPr>
            <w:tcW w:w="1253" w:type="dxa"/>
          </w:tcPr>
          <w:p>
            <w:pPr>
              <w:jc w:val="right"/>
              <w:rPr>
                <w:rFonts w:ascii="Arial Narrow" w:hAnsi="Arial Narrow"/>
                <w:sz w:val="18"/>
                <w:szCs w:val="18"/>
              </w:rPr>
            </w:pPr>
          </w:p>
        </w:tc>
        <w:tc>
          <w:tcPr>
            <w:tcW w:w="1377" w:type="dxa"/>
          </w:tcPr>
          <w:p>
            <w:pPr>
              <w:jc w:val="right"/>
              <w:rPr>
                <w:rFonts w:ascii="Arial Narrow" w:hAnsi="Arial Narrow"/>
                <w:sz w:val="18"/>
                <w:szCs w:val="18"/>
              </w:rPr>
            </w:pPr>
          </w:p>
        </w:tc>
        <w:tc>
          <w:tcPr>
            <w:tcW w:w="1503" w:type="dxa"/>
            <w:tcBorders>
              <w:right w:val="nil"/>
            </w:tcBorders>
            <w:vAlign w:val="center"/>
          </w:tcPr>
          <w:p>
            <w:pPr>
              <w:widowControl/>
              <w:jc w:val="right"/>
              <w:textAlignment w:val="center"/>
              <w:rPr>
                <w:rFonts w:ascii="Arial Narrow" w:hAnsi="Arial Narrow"/>
                <w:sz w:val="18"/>
                <w:szCs w:val="18"/>
              </w:rPr>
            </w:pPr>
            <w:r>
              <w:rPr>
                <w:rFonts w:ascii="Arial" w:hAnsi="Arial" w:cs="Arial"/>
                <w:color w:val="000000"/>
                <w:kern w:val="0"/>
                <w:sz w:val="18"/>
                <w:szCs w:val="18"/>
                <w:lang w:bidi="ar"/>
              </w:rPr>
              <w:t xml:space="preserve"> 11,883.72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3065" w:type="dxa"/>
            <w:tcBorders>
              <w:left w:val="nil"/>
              <w:bottom w:val="single" w:color="auto" w:sz="12" w:space="0"/>
            </w:tcBorders>
          </w:tcPr>
          <w:p>
            <w:pPr>
              <w:jc w:val="center"/>
              <w:rPr>
                <w:sz w:val="18"/>
                <w:szCs w:val="18"/>
              </w:rPr>
            </w:pPr>
            <w:r>
              <w:rPr>
                <w:rFonts w:hint="eastAsia"/>
                <w:sz w:val="18"/>
                <w:szCs w:val="18"/>
              </w:rPr>
              <w:t>合  计</w:t>
            </w:r>
          </w:p>
        </w:tc>
        <w:tc>
          <w:tcPr>
            <w:tcW w:w="1568" w:type="dxa"/>
            <w:tcBorders>
              <w:bottom w:val="single" w:color="auto" w:sz="12" w:space="0"/>
            </w:tcBorders>
            <w:vAlign w:val="center"/>
          </w:tcPr>
          <w:p>
            <w:pPr>
              <w:widowControl/>
              <w:jc w:val="right"/>
              <w:textAlignment w:val="center"/>
              <w:rPr>
                <w:rFonts w:ascii="Arial Narrow" w:hAnsi="Arial Narrow" w:cs="宋体"/>
                <w:color w:val="000000"/>
                <w:sz w:val="18"/>
                <w:szCs w:val="18"/>
              </w:rPr>
            </w:pPr>
            <w:r>
              <w:rPr>
                <w:rFonts w:ascii="Arial" w:hAnsi="Arial" w:cs="Arial"/>
                <w:color w:val="000000"/>
                <w:kern w:val="0"/>
                <w:sz w:val="18"/>
                <w:szCs w:val="18"/>
                <w:lang w:bidi="ar"/>
              </w:rPr>
              <w:t xml:space="preserve"> 95,853.72 </w:t>
            </w:r>
          </w:p>
        </w:tc>
        <w:tc>
          <w:tcPr>
            <w:tcW w:w="1253" w:type="dxa"/>
            <w:tcBorders>
              <w:bottom w:val="single" w:color="auto" w:sz="12" w:space="0"/>
            </w:tcBorders>
            <w:vAlign w:val="center"/>
          </w:tcPr>
          <w:p>
            <w:pPr>
              <w:widowControl/>
              <w:jc w:val="right"/>
              <w:textAlignment w:val="center"/>
              <w:rPr>
                <w:rFonts w:ascii="Arial Narrow" w:hAnsi="Arial Narrow"/>
                <w:color w:val="000000"/>
                <w:sz w:val="18"/>
                <w:szCs w:val="18"/>
              </w:rPr>
            </w:pPr>
            <w:r>
              <w:rPr>
                <w:rFonts w:ascii="Arial" w:hAnsi="Arial" w:cs="Arial"/>
                <w:color w:val="000000"/>
                <w:kern w:val="0"/>
                <w:sz w:val="18"/>
                <w:szCs w:val="18"/>
                <w:lang w:bidi="ar"/>
              </w:rPr>
              <w:t xml:space="preserve"> 513,440.91 </w:t>
            </w:r>
          </w:p>
        </w:tc>
        <w:tc>
          <w:tcPr>
            <w:tcW w:w="1377" w:type="dxa"/>
            <w:tcBorders>
              <w:bottom w:val="single" w:color="auto" w:sz="12" w:space="0"/>
            </w:tcBorders>
            <w:vAlign w:val="center"/>
          </w:tcPr>
          <w:p>
            <w:pPr>
              <w:widowControl/>
              <w:jc w:val="right"/>
              <w:textAlignment w:val="center"/>
              <w:rPr>
                <w:rFonts w:ascii="Arial Narrow" w:hAnsi="Arial Narrow"/>
                <w:color w:val="000000"/>
                <w:sz w:val="18"/>
                <w:szCs w:val="18"/>
              </w:rPr>
            </w:pPr>
            <w:r>
              <w:rPr>
                <w:rFonts w:ascii="Arial" w:hAnsi="Arial" w:cs="Arial"/>
                <w:color w:val="000000"/>
                <w:kern w:val="0"/>
                <w:sz w:val="18"/>
                <w:szCs w:val="18"/>
                <w:lang w:bidi="ar"/>
              </w:rPr>
              <w:t xml:space="preserve"> 457,845.45 </w:t>
            </w:r>
          </w:p>
        </w:tc>
        <w:tc>
          <w:tcPr>
            <w:tcW w:w="1503" w:type="dxa"/>
            <w:tcBorders>
              <w:bottom w:val="single" w:color="auto" w:sz="12" w:space="0"/>
              <w:right w:val="nil"/>
            </w:tcBorders>
            <w:vAlign w:val="center"/>
          </w:tcPr>
          <w:p>
            <w:pPr>
              <w:widowControl/>
              <w:jc w:val="right"/>
              <w:textAlignment w:val="center"/>
              <w:rPr>
                <w:rFonts w:ascii="Arial Narrow" w:hAnsi="Arial Narrow"/>
                <w:color w:val="000000"/>
                <w:sz w:val="18"/>
                <w:szCs w:val="18"/>
              </w:rPr>
            </w:pPr>
            <w:r>
              <w:rPr>
                <w:rFonts w:ascii="Arial" w:hAnsi="Arial" w:cs="Arial"/>
                <w:color w:val="000000"/>
                <w:kern w:val="0"/>
                <w:sz w:val="18"/>
                <w:szCs w:val="18"/>
                <w:lang w:bidi="ar"/>
              </w:rPr>
              <w:t xml:space="preserve"> 151,449.18 </w:t>
            </w:r>
          </w:p>
        </w:tc>
      </w:tr>
    </w:tbl>
    <w:p>
      <w:pPr>
        <w:pStyle w:val="15"/>
        <w:tabs>
          <w:tab w:val="left" w:pos="426"/>
          <w:tab w:val="left" w:pos="851"/>
          <w:tab w:val="left" w:pos="1134"/>
          <w:tab w:val="left" w:pos="1276"/>
        </w:tabs>
        <w:snapToGrid w:val="0"/>
        <w:spacing w:after="156" w:afterLines="50" w:line="460" w:lineRule="atLeast"/>
        <w:ind w:left="840"/>
        <w:outlineLvl w:val="1"/>
        <w:rPr>
          <w:rFonts w:hAnsi="宋体" w:cs="Times New Roman"/>
          <w:bCs/>
          <w:snapToGrid w:val="0"/>
          <w:kern w:val="0"/>
        </w:rPr>
      </w:pPr>
    </w:p>
    <w:p>
      <w:pPr>
        <w:pStyle w:val="15"/>
        <w:numPr>
          <w:ilvl w:val="0"/>
          <w:numId w:val="6"/>
        </w:numPr>
        <w:tabs>
          <w:tab w:val="left" w:pos="426"/>
          <w:tab w:val="left" w:pos="851"/>
          <w:tab w:val="left" w:pos="1134"/>
          <w:tab w:val="left" w:pos="1276"/>
        </w:tabs>
        <w:snapToGrid w:val="0"/>
        <w:spacing w:after="156" w:afterLines="50" w:line="460" w:lineRule="atLeast"/>
        <w:ind w:left="840"/>
        <w:outlineLvl w:val="1"/>
        <w:rPr>
          <w:rFonts w:hAnsi="宋体" w:cs="Times New Roman"/>
          <w:bCs/>
          <w:snapToGrid w:val="0"/>
          <w:kern w:val="0"/>
        </w:rPr>
      </w:pPr>
      <w:r>
        <w:rPr>
          <w:rFonts w:hint="eastAsia" w:hAnsi="宋体" w:cs="Times New Roman"/>
          <w:bCs/>
          <w:snapToGrid w:val="0"/>
          <w:kern w:val="0"/>
        </w:rPr>
        <w:t>应交税费</w:t>
      </w:r>
    </w:p>
    <w:tbl>
      <w:tblPr>
        <w:tblStyle w:val="31"/>
        <w:tblW w:w="8612" w:type="dxa"/>
        <w:jc w:val="center"/>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953"/>
        <w:gridCol w:w="2431"/>
        <w:gridCol w:w="3228"/>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blHeader/>
          <w:jc w:val="center"/>
        </w:trPr>
        <w:tc>
          <w:tcPr>
            <w:tcW w:w="2953" w:type="dxa"/>
            <w:tcBorders>
              <w:top w:val="single" w:color="auto" w:sz="12" w:space="0"/>
            </w:tcBorders>
            <w:vAlign w:val="center"/>
          </w:tcPr>
          <w:p>
            <w:pPr>
              <w:snapToGrid w:val="0"/>
              <w:jc w:val="center"/>
              <w:rPr>
                <w:rFonts w:ascii="宋体" w:hAnsi="宋体"/>
                <w:snapToGrid w:val="0"/>
                <w:kern w:val="0"/>
                <w:sz w:val="18"/>
                <w:szCs w:val="18"/>
              </w:rPr>
            </w:pPr>
            <w:r>
              <w:rPr>
                <w:rFonts w:hint="eastAsia" w:ascii="宋体" w:hAnsi="宋体" w:cs="宋体"/>
                <w:snapToGrid w:val="0"/>
                <w:kern w:val="0"/>
                <w:sz w:val="18"/>
                <w:szCs w:val="18"/>
              </w:rPr>
              <w:t>税</w:t>
            </w:r>
            <w:r>
              <w:rPr>
                <w:rFonts w:ascii="宋体" w:hAnsi="宋体" w:cs="宋体"/>
                <w:snapToGrid w:val="0"/>
                <w:kern w:val="0"/>
                <w:sz w:val="18"/>
                <w:szCs w:val="18"/>
              </w:rPr>
              <w:t xml:space="preserve">    </w:t>
            </w:r>
            <w:r>
              <w:rPr>
                <w:rFonts w:hint="eastAsia" w:ascii="宋体" w:hAnsi="宋体" w:cs="宋体"/>
                <w:snapToGrid w:val="0"/>
                <w:kern w:val="0"/>
                <w:sz w:val="18"/>
                <w:szCs w:val="18"/>
              </w:rPr>
              <w:t>种</w:t>
            </w:r>
          </w:p>
        </w:tc>
        <w:tc>
          <w:tcPr>
            <w:tcW w:w="2431" w:type="dxa"/>
            <w:tcBorders>
              <w:top w:val="single" w:color="auto" w:sz="12" w:space="0"/>
            </w:tcBorders>
            <w:vAlign w:val="center"/>
          </w:tcPr>
          <w:p>
            <w:pPr>
              <w:snapToGrid w:val="0"/>
              <w:jc w:val="center"/>
              <w:rPr>
                <w:rFonts w:ascii="宋体" w:hAnsi="宋体" w:cs="宋体"/>
                <w:snapToGrid w:val="0"/>
                <w:kern w:val="0"/>
                <w:sz w:val="18"/>
                <w:szCs w:val="18"/>
              </w:rPr>
            </w:pPr>
            <w:r>
              <w:rPr>
                <w:rFonts w:hint="eastAsia" w:ascii="宋体" w:hAnsi="宋体" w:cs="宋体"/>
                <w:snapToGrid w:val="0"/>
                <w:kern w:val="0"/>
                <w:sz w:val="18"/>
                <w:szCs w:val="18"/>
              </w:rPr>
              <w:t>期末余额</w:t>
            </w:r>
          </w:p>
        </w:tc>
        <w:tc>
          <w:tcPr>
            <w:tcW w:w="3228" w:type="dxa"/>
            <w:tcBorders>
              <w:top w:val="single" w:color="auto" w:sz="12" w:space="0"/>
            </w:tcBorders>
            <w:vAlign w:val="center"/>
          </w:tcPr>
          <w:p>
            <w:pPr>
              <w:snapToGrid w:val="0"/>
              <w:jc w:val="center"/>
              <w:rPr>
                <w:rFonts w:ascii="宋体" w:hAnsi="宋体" w:cs="宋体"/>
                <w:snapToGrid w:val="0"/>
                <w:kern w:val="0"/>
                <w:sz w:val="18"/>
                <w:szCs w:val="18"/>
              </w:rPr>
            </w:pPr>
            <w:r>
              <w:rPr>
                <w:rFonts w:hint="eastAsia" w:ascii="宋体" w:hAnsi="宋体" w:cs="宋体"/>
                <w:snapToGrid w:val="0"/>
                <w:kern w:val="0"/>
                <w:sz w:val="18"/>
                <w:szCs w:val="18"/>
              </w:rPr>
              <w:t>期初余额</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953" w:type="dxa"/>
            <w:vAlign w:val="center"/>
          </w:tcPr>
          <w:p>
            <w:pPr>
              <w:widowControl/>
              <w:jc w:val="left"/>
              <w:textAlignment w:val="center"/>
              <w:rPr>
                <w:rFonts w:ascii="宋体" w:hAnsi="宋体"/>
                <w:snapToGrid w:val="0"/>
                <w:kern w:val="0"/>
                <w:sz w:val="18"/>
                <w:szCs w:val="18"/>
              </w:rPr>
            </w:pPr>
            <w:r>
              <w:rPr>
                <w:rFonts w:hint="eastAsia" w:ascii="宋体" w:hAnsi="宋体" w:cs="宋体"/>
                <w:color w:val="000000"/>
                <w:kern w:val="0"/>
                <w:sz w:val="18"/>
                <w:szCs w:val="18"/>
                <w:lang w:bidi="ar"/>
              </w:rPr>
              <w:t>增值税</w:t>
            </w:r>
          </w:p>
        </w:tc>
        <w:tc>
          <w:tcPr>
            <w:tcW w:w="2431" w:type="dxa"/>
            <w:vAlign w:val="center"/>
          </w:tcPr>
          <w:p>
            <w:pPr>
              <w:widowControl/>
              <w:jc w:val="right"/>
              <w:textAlignment w:val="center"/>
              <w:rPr>
                <w:rFonts w:ascii="Arial Narrow" w:hAnsi="Arial Narrow" w:cs="Arial Narrow"/>
                <w:snapToGrid w:val="0"/>
                <w:kern w:val="0"/>
                <w:sz w:val="18"/>
                <w:szCs w:val="18"/>
              </w:rPr>
            </w:pPr>
            <w:r>
              <w:rPr>
                <w:rFonts w:ascii="Arial" w:hAnsi="Arial" w:cs="Arial"/>
                <w:color w:val="000000"/>
                <w:kern w:val="0"/>
                <w:sz w:val="18"/>
                <w:szCs w:val="18"/>
                <w:lang w:bidi="ar"/>
              </w:rPr>
              <w:t xml:space="preserve"> -45,933.68 </w:t>
            </w:r>
          </w:p>
        </w:tc>
        <w:tc>
          <w:tcPr>
            <w:tcW w:w="3228" w:type="dxa"/>
            <w:vAlign w:val="center"/>
          </w:tcPr>
          <w:p>
            <w:pPr>
              <w:widowControl/>
              <w:jc w:val="right"/>
              <w:textAlignment w:val="center"/>
              <w:rPr>
                <w:rFonts w:ascii="Arial Narrow" w:hAnsi="Arial Narrow" w:cs="Arial Narrow"/>
                <w:snapToGrid w:val="0"/>
                <w:kern w:val="0"/>
                <w:sz w:val="18"/>
                <w:szCs w:val="18"/>
              </w:rPr>
            </w:pPr>
            <w:r>
              <w:rPr>
                <w:rFonts w:ascii="Arial" w:hAnsi="Arial" w:cs="Arial"/>
                <w:color w:val="000000"/>
                <w:kern w:val="0"/>
                <w:sz w:val="18"/>
                <w:szCs w:val="18"/>
                <w:lang w:bidi="ar"/>
              </w:rPr>
              <w:t xml:space="preserve"> 1,166.59 </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953" w:type="dxa"/>
            <w:vAlign w:val="center"/>
          </w:tcPr>
          <w:p>
            <w:pPr>
              <w:widowControl/>
              <w:jc w:val="left"/>
              <w:textAlignment w:val="center"/>
              <w:rPr>
                <w:rFonts w:ascii="宋体" w:hAnsi="宋体"/>
                <w:snapToGrid w:val="0"/>
                <w:kern w:val="0"/>
                <w:sz w:val="18"/>
                <w:szCs w:val="18"/>
              </w:rPr>
            </w:pPr>
            <w:r>
              <w:rPr>
                <w:rFonts w:hint="eastAsia" w:ascii="宋体" w:hAnsi="宋体" w:cs="宋体"/>
                <w:color w:val="000000"/>
                <w:kern w:val="0"/>
                <w:sz w:val="18"/>
                <w:szCs w:val="18"/>
                <w:lang w:bidi="ar"/>
              </w:rPr>
              <w:t>个人所得税</w:t>
            </w:r>
          </w:p>
        </w:tc>
        <w:tc>
          <w:tcPr>
            <w:tcW w:w="2431" w:type="dxa"/>
            <w:vAlign w:val="center"/>
          </w:tcPr>
          <w:p>
            <w:pPr>
              <w:widowControl/>
              <w:jc w:val="right"/>
              <w:textAlignment w:val="center"/>
              <w:rPr>
                <w:rFonts w:ascii="Arial Narrow" w:hAnsi="Arial Narrow" w:cs="Arial Narrow"/>
                <w:snapToGrid w:val="0"/>
                <w:kern w:val="0"/>
                <w:sz w:val="18"/>
                <w:szCs w:val="18"/>
              </w:rPr>
            </w:pPr>
            <w:r>
              <w:rPr>
                <w:rFonts w:ascii="Arial" w:hAnsi="Arial" w:cs="Arial"/>
                <w:color w:val="000000"/>
                <w:kern w:val="0"/>
                <w:sz w:val="18"/>
                <w:szCs w:val="18"/>
                <w:lang w:bidi="ar"/>
              </w:rPr>
              <w:t xml:space="preserve"> 1,479.78 </w:t>
            </w:r>
          </w:p>
        </w:tc>
        <w:tc>
          <w:tcPr>
            <w:tcW w:w="3228" w:type="dxa"/>
            <w:vAlign w:val="center"/>
          </w:tcPr>
          <w:p>
            <w:pPr>
              <w:widowControl/>
              <w:jc w:val="right"/>
              <w:textAlignment w:val="center"/>
              <w:rPr>
                <w:rFonts w:ascii="Arial Narrow" w:hAnsi="Arial Narrow" w:cs="宋体"/>
                <w:color w:val="000000"/>
                <w:sz w:val="18"/>
                <w:szCs w:val="18"/>
              </w:rPr>
            </w:pPr>
            <w:r>
              <w:rPr>
                <w:rFonts w:ascii="Arial" w:hAnsi="Arial" w:cs="Arial"/>
                <w:color w:val="000000"/>
                <w:kern w:val="0"/>
                <w:sz w:val="18"/>
                <w:szCs w:val="18"/>
                <w:lang w:bidi="ar"/>
              </w:rPr>
              <w:t xml:space="preserve"> 19.71 </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953" w:type="dxa"/>
            <w:vAlign w:val="center"/>
          </w:tcPr>
          <w:p>
            <w:pPr>
              <w:widowControl/>
              <w:jc w:val="left"/>
              <w:textAlignment w:val="center"/>
              <w:rPr>
                <w:rFonts w:ascii="宋体" w:hAnsi="宋体"/>
                <w:snapToGrid w:val="0"/>
                <w:kern w:val="0"/>
                <w:sz w:val="18"/>
                <w:szCs w:val="18"/>
              </w:rPr>
            </w:pPr>
            <w:r>
              <w:rPr>
                <w:rFonts w:hint="eastAsia" w:ascii="宋体" w:hAnsi="宋体" w:cs="宋体"/>
                <w:color w:val="000000"/>
                <w:kern w:val="0"/>
                <w:sz w:val="18"/>
                <w:szCs w:val="18"/>
                <w:lang w:bidi="ar"/>
              </w:rPr>
              <w:t>残疾人就业保障金</w:t>
            </w:r>
          </w:p>
        </w:tc>
        <w:tc>
          <w:tcPr>
            <w:tcW w:w="2431" w:type="dxa"/>
            <w:vAlign w:val="center"/>
          </w:tcPr>
          <w:p>
            <w:pPr>
              <w:widowControl/>
              <w:jc w:val="right"/>
              <w:textAlignment w:val="center"/>
              <w:rPr>
                <w:rFonts w:ascii="Arial Narrow" w:hAnsi="Arial Narrow" w:cs="Arial Narrow"/>
                <w:snapToGrid w:val="0"/>
                <w:kern w:val="0"/>
                <w:sz w:val="18"/>
                <w:szCs w:val="18"/>
              </w:rPr>
            </w:pPr>
            <w:r>
              <w:rPr>
                <w:rFonts w:ascii="Arial" w:hAnsi="Arial" w:cs="Arial"/>
                <w:color w:val="000000"/>
                <w:kern w:val="0"/>
                <w:sz w:val="18"/>
                <w:szCs w:val="18"/>
                <w:lang w:bidi="ar"/>
              </w:rPr>
              <w:t xml:space="preserve"> 84.53 </w:t>
            </w:r>
          </w:p>
        </w:tc>
        <w:tc>
          <w:tcPr>
            <w:tcW w:w="3228" w:type="dxa"/>
            <w:vAlign w:val="center"/>
          </w:tcPr>
          <w:p>
            <w:pPr>
              <w:jc w:val="right"/>
              <w:rPr>
                <w:rFonts w:ascii="Arial Narrow" w:hAnsi="Arial Narrow" w:cs="宋体"/>
                <w:color w:val="000000"/>
                <w:sz w:val="18"/>
                <w:szCs w:val="18"/>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953" w:type="dxa"/>
            <w:vAlign w:val="center"/>
          </w:tcPr>
          <w:p>
            <w:pPr>
              <w:widowControl/>
              <w:jc w:val="left"/>
              <w:textAlignment w:val="center"/>
              <w:rPr>
                <w:rFonts w:ascii="宋体" w:hAnsi="宋体"/>
                <w:snapToGrid w:val="0"/>
                <w:kern w:val="0"/>
                <w:sz w:val="18"/>
                <w:szCs w:val="18"/>
              </w:rPr>
            </w:pPr>
            <w:r>
              <w:rPr>
                <w:rFonts w:hint="eastAsia" w:ascii="宋体" w:hAnsi="宋体" w:cs="宋体"/>
                <w:color w:val="000000"/>
                <w:kern w:val="0"/>
                <w:sz w:val="18"/>
                <w:szCs w:val="18"/>
                <w:lang w:bidi="ar"/>
              </w:rPr>
              <w:t>印花税</w:t>
            </w:r>
          </w:p>
        </w:tc>
        <w:tc>
          <w:tcPr>
            <w:tcW w:w="2431" w:type="dxa"/>
            <w:vAlign w:val="center"/>
          </w:tcPr>
          <w:p>
            <w:pPr>
              <w:widowControl/>
              <w:jc w:val="right"/>
              <w:textAlignment w:val="center"/>
              <w:rPr>
                <w:rFonts w:ascii="Arial Narrow" w:hAnsi="Arial Narrow" w:cs="Arial Narrow"/>
                <w:snapToGrid w:val="0"/>
                <w:kern w:val="0"/>
                <w:sz w:val="18"/>
                <w:szCs w:val="18"/>
              </w:rPr>
            </w:pPr>
            <w:r>
              <w:rPr>
                <w:rFonts w:ascii="Arial" w:hAnsi="Arial" w:cs="Arial"/>
                <w:color w:val="000000"/>
                <w:kern w:val="0"/>
                <w:sz w:val="18"/>
                <w:szCs w:val="18"/>
                <w:lang w:bidi="ar"/>
              </w:rPr>
              <w:t xml:space="preserve"> 36.70 </w:t>
            </w:r>
          </w:p>
        </w:tc>
        <w:tc>
          <w:tcPr>
            <w:tcW w:w="3228" w:type="dxa"/>
            <w:vAlign w:val="center"/>
          </w:tcPr>
          <w:p>
            <w:pPr>
              <w:jc w:val="right"/>
              <w:rPr>
                <w:rFonts w:ascii="Arial Narrow" w:hAnsi="Arial Narrow" w:cs="宋体"/>
                <w:color w:val="000000"/>
                <w:sz w:val="18"/>
                <w:szCs w:val="18"/>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953" w:type="dxa"/>
            <w:tcBorders>
              <w:bottom w:val="single" w:color="auto" w:sz="12" w:space="0"/>
            </w:tcBorders>
            <w:vAlign w:val="center"/>
          </w:tcPr>
          <w:p>
            <w:pPr>
              <w:widowControl/>
              <w:jc w:val="center"/>
              <w:textAlignment w:val="center"/>
              <w:rPr>
                <w:rFonts w:ascii="宋体" w:hAnsi="宋体"/>
                <w:snapToGrid w:val="0"/>
                <w:kern w:val="0"/>
                <w:sz w:val="18"/>
                <w:szCs w:val="18"/>
              </w:rPr>
            </w:pPr>
            <w:r>
              <w:rPr>
                <w:rFonts w:hint="eastAsia" w:ascii="宋体" w:hAnsi="宋体" w:cs="宋体"/>
                <w:color w:val="000000"/>
                <w:kern w:val="0"/>
                <w:sz w:val="18"/>
                <w:szCs w:val="18"/>
                <w:lang w:bidi="ar"/>
              </w:rPr>
              <w:t>合    计</w:t>
            </w:r>
          </w:p>
        </w:tc>
        <w:tc>
          <w:tcPr>
            <w:tcW w:w="2431" w:type="dxa"/>
            <w:tcBorders>
              <w:bottom w:val="single" w:color="auto" w:sz="12" w:space="0"/>
            </w:tcBorders>
            <w:vAlign w:val="center"/>
          </w:tcPr>
          <w:p>
            <w:pPr>
              <w:widowControl/>
              <w:jc w:val="right"/>
              <w:textAlignment w:val="center"/>
              <w:rPr>
                <w:rFonts w:ascii="Arial Narrow" w:hAnsi="Arial Narrow" w:cs="Arial Narrow"/>
                <w:snapToGrid w:val="0"/>
                <w:kern w:val="0"/>
                <w:sz w:val="18"/>
                <w:szCs w:val="18"/>
              </w:rPr>
            </w:pPr>
            <w:r>
              <w:rPr>
                <w:rFonts w:ascii="Arial" w:hAnsi="Arial" w:cs="Arial"/>
                <w:color w:val="000000"/>
                <w:kern w:val="0"/>
                <w:sz w:val="18"/>
                <w:szCs w:val="18"/>
                <w:lang w:bidi="ar"/>
              </w:rPr>
              <w:t xml:space="preserve"> -44,332.67 </w:t>
            </w:r>
          </w:p>
        </w:tc>
        <w:tc>
          <w:tcPr>
            <w:tcW w:w="3228" w:type="dxa"/>
            <w:tcBorders>
              <w:bottom w:val="single" w:color="auto" w:sz="12" w:space="0"/>
            </w:tcBorders>
            <w:vAlign w:val="center"/>
          </w:tcPr>
          <w:p>
            <w:pPr>
              <w:widowControl/>
              <w:jc w:val="right"/>
              <w:textAlignment w:val="center"/>
              <w:rPr>
                <w:rFonts w:ascii="Arial Narrow" w:hAnsi="Arial Narrow" w:cs="Arial Narrow"/>
                <w:snapToGrid w:val="0"/>
                <w:kern w:val="0"/>
                <w:sz w:val="18"/>
                <w:szCs w:val="18"/>
              </w:rPr>
            </w:pPr>
            <w:r>
              <w:rPr>
                <w:rFonts w:ascii="Arial" w:hAnsi="Arial" w:cs="Arial"/>
                <w:color w:val="000000"/>
                <w:kern w:val="0"/>
                <w:sz w:val="18"/>
                <w:szCs w:val="18"/>
                <w:lang w:bidi="ar"/>
              </w:rPr>
              <w:t xml:space="preserve"> 1,186.30 </w:t>
            </w:r>
          </w:p>
        </w:tc>
      </w:tr>
    </w:tbl>
    <w:p>
      <w:pPr>
        <w:pStyle w:val="15"/>
        <w:numPr>
          <w:ilvl w:val="0"/>
          <w:numId w:val="6"/>
        </w:numPr>
        <w:tabs>
          <w:tab w:val="left" w:pos="426"/>
          <w:tab w:val="left" w:pos="851"/>
          <w:tab w:val="left" w:pos="1134"/>
          <w:tab w:val="left" w:pos="1276"/>
        </w:tabs>
        <w:snapToGrid w:val="0"/>
        <w:spacing w:after="156" w:afterLines="50" w:line="460" w:lineRule="atLeast"/>
        <w:ind w:left="840"/>
        <w:outlineLvl w:val="1"/>
        <w:rPr>
          <w:rFonts w:hAnsi="宋体" w:cs="Times New Roman"/>
          <w:bCs/>
          <w:snapToGrid w:val="0"/>
          <w:kern w:val="0"/>
        </w:rPr>
      </w:pPr>
      <w:r>
        <w:rPr>
          <w:rFonts w:hint="eastAsia" w:hAnsi="宋体" w:cs="Times New Roman"/>
          <w:bCs/>
          <w:snapToGrid w:val="0"/>
          <w:kern w:val="0"/>
        </w:rPr>
        <w:t>其他应付款</w:t>
      </w:r>
    </w:p>
    <w:tbl>
      <w:tblPr>
        <w:tblStyle w:val="31"/>
        <w:tblW w:w="8493" w:type="dxa"/>
        <w:jc w:val="center"/>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3158"/>
        <w:gridCol w:w="2650"/>
        <w:gridCol w:w="2685"/>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blHeader/>
          <w:jc w:val="center"/>
        </w:trPr>
        <w:tc>
          <w:tcPr>
            <w:tcW w:w="3158" w:type="dxa"/>
            <w:tcBorders>
              <w:top w:val="single" w:color="auto" w:sz="12" w:space="0"/>
            </w:tcBorders>
            <w:vAlign w:val="center"/>
          </w:tcPr>
          <w:p>
            <w:pPr>
              <w:snapToGrid w:val="0"/>
              <w:jc w:val="center"/>
              <w:rPr>
                <w:rFonts w:ascii="宋体" w:hAnsi="宋体"/>
                <w:snapToGrid w:val="0"/>
                <w:kern w:val="0"/>
                <w:sz w:val="18"/>
                <w:szCs w:val="18"/>
              </w:rPr>
            </w:pPr>
            <w:r>
              <w:rPr>
                <w:rFonts w:hint="eastAsia" w:ascii="宋体" w:hAnsi="宋体" w:cs="宋体"/>
                <w:snapToGrid w:val="0"/>
                <w:kern w:val="0"/>
                <w:sz w:val="18"/>
                <w:szCs w:val="18"/>
              </w:rPr>
              <w:t>款项性质</w:t>
            </w:r>
          </w:p>
        </w:tc>
        <w:tc>
          <w:tcPr>
            <w:tcW w:w="2650" w:type="dxa"/>
            <w:tcBorders>
              <w:top w:val="single" w:color="auto" w:sz="12" w:space="0"/>
            </w:tcBorders>
            <w:vAlign w:val="center"/>
          </w:tcPr>
          <w:p>
            <w:pPr>
              <w:snapToGrid w:val="0"/>
              <w:jc w:val="center"/>
              <w:rPr>
                <w:rFonts w:ascii="宋体" w:hAnsi="宋体" w:cs="宋体"/>
                <w:snapToGrid w:val="0"/>
                <w:kern w:val="0"/>
                <w:sz w:val="18"/>
                <w:szCs w:val="18"/>
              </w:rPr>
            </w:pPr>
            <w:r>
              <w:rPr>
                <w:rFonts w:hint="eastAsia" w:ascii="宋体" w:hAnsi="宋体" w:cs="宋体"/>
                <w:snapToGrid w:val="0"/>
                <w:kern w:val="0"/>
                <w:sz w:val="18"/>
                <w:szCs w:val="18"/>
              </w:rPr>
              <w:t>期末余额</w:t>
            </w:r>
          </w:p>
        </w:tc>
        <w:tc>
          <w:tcPr>
            <w:tcW w:w="2685" w:type="dxa"/>
            <w:tcBorders>
              <w:top w:val="single" w:color="auto" w:sz="12" w:space="0"/>
            </w:tcBorders>
            <w:vAlign w:val="center"/>
          </w:tcPr>
          <w:p>
            <w:pPr>
              <w:snapToGrid w:val="0"/>
              <w:jc w:val="center"/>
              <w:rPr>
                <w:rFonts w:ascii="宋体" w:hAnsi="宋体" w:cs="宋体"/>
                <w:snapToGrid w:val="0"/>
                <w:kern w:val="0"/>
                <w:sz w:val="18"/>
                <w:szCs w:val="18"/>
              </w:rPr>
            </w:pPr>
            <w:r>
              <w:rPr>
                <w:rFonts w:hint="eastAsia" w:ascii="宋体" w:hAnsi="宋体" w:cs="宋体"/>
                <w:snapToGrid w:val="0"/>
                <w:kern w:val="0"/>
                <w:sz w:val="18"/>
                <w:szCs w:val="18"/>
              </w:rPr>
              <w:t>期初余额</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3158" w:type="dxa"/>
            <w:vAlign w:val="center"/>
          </w:tcPr>
          <w:p>
            <w:pPr>
              <w:widowControl/>
              <w:jc w:val="left"/>
              <w:textAlignment w:val="center"/>
              <w:rPr>
                <w:rFonts w:ascii="宋体" w:hAnsi="宋体" w:cs="宋体"/>
                <w:sz w:val="18"/>
                <w:szCs w:val="18"/>
              </w:rPr>
            </w:pPr>
            <w:r>
              <w:rPr>
                <w:rFonts w:hint="eastAsia" w:ascii="宋体" w:hAnsi="宋体" w:cs="宋体"/>
                <w:color w:val="000000"/>
                <w:kern w:val="0"/>
                <w:sz w:val="18"/>
                <w:szCs w:val="18"/>
                <w:lang w:bidi="ar"/>
              </w:rPr>
              <w:t>母</w:t>
            </w:r>
            <w:r>
              <w:rPr>
                <w:rFonts w:ascii="宋体" w:hAnsi="宋体" w:cs="宋体"/>
                <w:color w:val="000000"/>
                <w:kern w:val="0"/>
                <w:sz w:val="18"/>
                <w:szCs w:val="18"/>
                <w:lang w:bidi="ar"/>
              </w:rPr>
              <w:t>公司</w:t>
            </w:r>
            <w:r>
              <w:rPr>
                <w:rFonts w:hint="eastAsia" w:ascii="宋体" w:hAnsi="宋体" w:cs="宋体"/>
                <w:color w:val="000000"/>
                <w:kern w:val="0"/>
                <w:sz w:val="18"/>
                <w:szCs w:val="18"/>
                <w:lang w:bidi="ar"/>
              </w:rPr>
              <w:t>借款</w:t>
            </w:r>
          </w:p>
        </w:tc>
        <w:tc>
          <w:tcPr>
            <w:tcW w:w="2650" w:type="dxa"/>
            <w:vAlign w:val="center"/>
          </w:tcPr>
          <w:p>
            <w:pPr>
              <w:widowControl/>
              <w:jc w:val="right"/>
              <w:textAlignment w:val="center"/>
              <w:rPr>
                <w:rFonts w:ascii="Arial Narrow" w:hAnsi="Arial Narrow"/>
                <w:sz w:val="18"/>
                <w:szCs w:val="18"/>
              </w:rPr>
            </w:pPr>
            <w:r>
              <w:rPr>
                <w:rFonts w:ascii="Arial" w:hAnsi="Arial" w:cs="Arial"/>
                <w:color w:val="000000"/>
                <w:kern w:val="0"/>
                <w:sz w:val="18"/>
                <w:szCs w:val="18"/>
                <w:lang w:bidi="ar"/>
              </w:rPr>
              <w:t xml:space="preserve"> 2,050,000.00 </w:t>
            </w:r>
          </w:p>
        </w:tc>
        <w:tc>
          <w:tcPr>
            <w:tcW w:w="2685" w:type="dxa"/>
            <w:vAlign w:val="center"/>
          </w:tcPr>
          <w:p>
            <w:pPr>
              <w:widowControl/>
              <w:jc w:val="right"/>
              <w:textAlignment w:val="center"/>
              <w:rPr>
                <w:rFonts w:ascii="Arial Narrow" w:hAnsi="Arial Narrow"/>
                <w:sz w:val="18"/>
                <w:szCs w:val="18"/>
              </w:rPr>
            </w:pPr>
            <w:r>
              <w:rPr>
                <w:rFonts w:ascii="Arial" w:hAnsi="Arial" w:cs="Arial"/>
                <w:color w:val="000000"/>
                <w:kern w:val="0"/>
                <w:sz w:val="18"/>
                <w:szCs w:val="18"/>
                <w:lang w:bidi="ar"/>
              </w:rPr>
              <w:t xml:space="preserve"> 1,460,000.00 </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3158" w:type="dxa"/>
            <w:vAlign w:val="center"/>
          </w:tcPr>
          <w:p>
            <w:pPr>
              <w:widowControl/>
              <w:jc w:val="left"/>
              <w:textAlignment w:val="center"/>
              <w:rPr>
                <w:rFonts w:ascii="宋体" w:hAnsi="宋体" w:cs="宋体"/>
                <w:sz w:val="18"/>
                <w:szCs w:val="18"/>
              </w:rPr>
            </w:pPr>
            <w:r>
              <w:rPr>
                <w:rFonts w:hint="eastAsia" w:ascii="宋体" w:hAnsi="宋体" w:cs="宋体"/>
                <w:color w:val="000000"/>
                <w:kern w:val="0"/>
                <w:sz w:val="18"/>
                <w:szCs w:val="18"/>
                <w:lang w:bidi="ar"/>
              </w:rPr>
              <w:t>绩效</w:t>
            </w:r>
            <w:r>
              <w:rPr>
                <w:rFonts w:ascii="宋体" w:hAnsi="宋体" w:cs="宋体"/>
                <w:color w:val="000000"/>
                <w:kern w:val="0"/>
                <w:sz w:val="18"/>
                <w:szCs w:val="18"/>
                <w:lang w:bidi="ar"/>
              </w:rPr>
              <w:t>工资等</w:t>
            </w:r>
          </w:p>
        </w:tc>
        <w:tc>
          <w:tcPr>
            <w:tcW w:w="2650" w:type="dxa"/>
            <w:vAlign w:val="center"/>
          </w:tcPr>
          <w:p>
            <w:pPr>
              <w:widowControl/>
              <w:jc w:val="right"/>
              <w:textAlignment w:val="center"/>
              <w:rPr>
                <w:rFonts w:ascii="Arial Narrow" w:hAnsi="Arial Narrow"/>
                <w:sz w:val="18"/>
                <w:szCs w:val="18"/>
              </w:rPr>
            </w:pPr>
            <w:r>
              <w:rPr>
                <w:rFonts w:ascii="Arial" w:hAnsi="Arial" w:cs="Arial"/>
                <w:color w:val="000000"/>
                <w:kern w:val="0"/>
                <w:sz w:val="18"/>
                <w:szCs w:val="18"/>
                <w:lang w:bidi="ar"/>
              </w:rPr>
              <w:t xml:space="preserve"> 46,600.00 </w:t>
            </w:r>
          </w:p>
        </w:tc>
        <w:tc>
          <w:tcPr>
            <w:tcW w:w="2685" w:type="dxa"/>
            <w:vAlign w:val="center"/>
          </w:tcPr>
          <w:p>
            <w:pPr>
              <w:jc w:val="right"/>
              <w:rPr>
                <w:rFonts w:ascii="Arial Narrow" w:hAnsi="Arial Narrow"/>
                <w:sz w:val="18"/>
                <w:szCs w:val="18"/>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3158" w:type="dxa"/>
            <w:tcBorders>
              <w:bottom w:val="single" w:color="auto" w:sz="12" w:space="0"/>
            </w:tcBorders>
            <w:vAlign w:val="center"/>
          </w:tcPr>
          <w:p>
            <w:pPr>
              <w:widowControl/>
              <w:jc w:val="center"/>
              <w:textAlignment w:val="center"/>
              <w:rPr>
                <w:rFonts w:ascii="宋体" w:hAnsi="宋体"/>
                <w:snapToGrid w:val="0"/>
                <w:kern w:val="0"/>
                <w:sz w:val="18"/>
                <w:szCs w:val="18"/>
              </w:rPr>
            </w:pPr>
            <w:r>
              <w:rPr>
                <w:rFonts w:hint="eastAsia" w:ascii="宋体" w:hAnsi="宋体" w:cs="宋体"/>
                <w:color w:val="000000"/>
                <w:kern w:val="0"/>
                <w:sz w:val="18"/>
                <w:szCs w:val="18"/>
                <w:lang w:bidi="ar"/>
              </w:rPr>
              <w:t>合    计</w:t>
            </w:r>
          </w:p>
        </w:tc>
        <w:tc>
          <w:tcPr>
            <w:tcW w:w="2650" w:type="dxa"/>
            <w:tcBorders>
              <w:bottom w:val="single" w:color="auto" w:sz="12" w:space="0"/>
            </w:tcBorders>
            <w:vAlign w:val="center"/>
          </w:tcPr>
          <w:p>
            <w:pPr>
              <w:widowControl/>
              <w:jc w:val="right"/>
              <w:textAlignment w:val="center"/>
              <w:rPr>
                <w:rFonts w:ascii="Arial Narrow" w:hAnsi="Arial Narrow"/>
                <w:sz w:val="18"/>
                <w:szCs w:val="18"/>
              </w:rPr>
            </w:pPr>
            <w:r>
              <w:rPr>
                <w:rFonts w:ascii="Arial" w:hAnsi="Arial" w:cs="Arial"/>
                <w:color w:val="000000"/>
                <w:kern w:val="0"/>
                <w:sz w:val="18"/>
                <w:szCs w:val="18"/>
                <w:lang w:bidi="ar"/>
              </w:rPr>
              <w:t xml:space="preserve"> 2,096,600.00 </w:t>
            </w:r>
          </w:p>
        </w:tc>
        <w:tc>
          <w:tcPr>
            <w:tcW w:w="2685" w:type="dxa"/>
            <w:tcBorders>
              <w:bottom w:val="single" w:color="auto" w:sz="12" w:space="0"/>
            </w:tcBorders>
            <w:vAlign w:val="center"/>
          </w:tcPr>
          <w:p>
            <w:pPr>
              <w:widowControl/>
              <w:jc w:val="right"/>
              <w:textAlignment w:val="center"/>
              <w:rPr>
                <w:rFonts w:ascii="Arial Narrow" w:hAnsi="Arial Narrow"/>
                <w:sz w:val="18"/>
                <w:szCs w:val="18"/>
              </w:rPr>
            </w:pPr>
            <w:r>
              <w:rPr>
                <w:rFonts w:ascii="Arial" w:hAnsi="Arial" w:cs="Arial"/>
                <w:color w:val="000000"/>
                <w:kern w:val="0"/>
                <w:sz w:val="18"/>
                <w:szCs w:val="18"/>
                <w:lang w:bidi="ar"/>
              </w:rPr>
              <w:t xml:space="preserve"> 1,460,000.00 </w:t>
            </w:r>
          </w:p>
        </w:tc>
      </w:tr>
    </w:tbl>
    <w:p>
      <w:pPr>
        <w:pStyle w:val="15"/>
        <w:numPr>
          <w:ilvl w:val="0"/>
          <w:numId w:val="9"/>
        </w:numPr>
        <w:snapToGrid w:val="0"/>
        <w:spacing w:before="156" w:beforeLines="50" w:after="156" w:afterLines="50" w:line="460" w:lineRule="atLeast"/>
        <w:ind w:firstLine="420" w:firstLineChars="200"/>
        <w:jc w:val="left"/>
        <w:rPr>
          <w:rFonts w:hAnsi="宋体"/>
          <w:snapToGrid w:val="0"/>
          <w:kern w:val="0"/>
        </w:rPr>
      </w:pPr>
      <w:r>
        <w:rPr>
          <w:rFonts w:hint="eastAsia" w:hAnsi="宋体"/>
          <w:snapToGrid w:val="0"/>
          <w:kern w:val="0"/>
        </w:rPr>
        <w:t>账龄超过1 年的大额其他应付款情况的说明</w:t>
      </w:r>
    </w:p>
    <w:tbl>
      <w:tblPr>
        <w:tblStyle w:val="31"/>
        <w:tblW w:w="8720" w:type="dxa"/>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3226"/>
        <w:gridCol w:w="2693"/>
        <w:gridCol w:w="2801"/>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blHeader/>
        </w:trPr>
        <w:tc>
          <w:tcPr>
            <w:tcW w:w="3226" w:type="dxa"/>
            <w:tcBorders>
              <w:top w:val="single" w:color="auto" w:sz="12" w:space="0"/>
            </w:tcBorders>
            <w:vAlign w:val="center"/>
          </w:tcPr>
          <w:p>
            <w:pPr>
              <w:snapToGrid w:val="0"/>
              <w:jc w:val="center"/>
              <w:rPr>
                <w:rFonts w:ascii="宋体" w:hAnsi="宋体" w:cs="Arial Narrow"/>
                <w:snapToGrid w:val="0"/>
                <w:kern w:val="0"/>
                <w:sz w:val="18"/>
                <w:szCs w:val="18"/>
              </w:rPr>
            </w:pPr>
            <w:r>
              <w:rPr>
                <w:rFonts w:hint="eastAsia" w:ascii="宋体" w:hAnsi="宋体" w:cs="宋体"/>
                <w:snapToGrid w:val="0"/>
                <w:kern w:val="0"/>
                <w:sz w:val="18"/>
                <w:szCs w:val="18"/>
              </w:rPr>
              <w:t>单位名称</w:t>
            </w:r>
          </w:p>
        </w:tc>
        <w:tc>
          <w:tcPr>
            <w:tcW w:w="2693" w:type="dxa"/>
            <w:tcBorders>
              <w:top w:val="single" w:color="auto" w:sz="12" w:space="0"/>
            </w:tcBorders>
            <w:vAlign w:val="center"/>
          </w:tcPr>
          <w:p>
            <w:pPr>
              <w:snapToGrid w:val="0"/>
              <w:jc w:val="center"/>
              <w:rPr>
                <w:rFonts w:ascii="宋体" w:hAnsi="宋体" w:cs="Arial Narrow"/>
                <w:snapToGrid w:val="0"/>
                <w:kern w:val="0"/>
                <w:sz w:val="18"/>
                <w:szCs w:val="18"/>
              </w:rPr>
            </w:pPr>
            <w:r>
              <w:rPr>
                <w:rFonts w:hint="eastAsia" w:ascii="宋体" w:hAnsi="宋体" w:cs="宋体"/>
                <w:snapToGrid w:val="0"/>
                <w:kern w:val="0"/>
                <w:sz w:val="18"/>
                <w:szCs w:val="18"/>
              </w:rPr>
              <w:t>期末余额</w:t>
            </w:r>
          </w:p>
        </w:tc>
        <w:tc>
          <w:tcPr>
            <w:tcW w:w="2801" w:type="dxa"/>
            <w:tcBorders>
              <w:top w:val="single" w:color="auto" w:sz="12" w:space="0"/>
            </w:tcBorders>
            <w:vAlign w:val="center"/>
          </w:tcPr>
          <w:p>
            <w:pPr>
              <w:snapToGrid w:val="0"/>
              <w:jc w:val="center"/>
              <w:rPr>
                <w:rFonts w:ascii="宋体" w:hAnsi="宋体" w:cs="Arial Narrow"/>
                <w:snapToGrid w:val="0"/>
                <w:kern w:val="0"/>
                <w:sz w:val="18"/>
                <w:szCs w:val="18"/>
              </w:rPr>
            </w:pPr>
            <w:r>
              <w:rPr>
                <w:rFonts w:hint="eastAsia" w:ascii="宋体" w:hAnsi="宋体" w:cs="宋体"/>
                <w:snapToGrid w:val="0"/>
                <w:kern w:val="0"/>
                <w:sz w:val="18"/>
                <w:szCs w:val="18"/>
              </w:rPr>
              <w:t>未偿还原因</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505" w:hRule="atLeast"/>
        </w:trPr>
        <w:tc>
          <w:tcPr>
            <w:tcW w:w="3226" w:type="dxa"/>
            <w:vAlign w:val="center"/>
          </w:tcPr>
          <w:p>
            <w:pPr>
              <w:widowControl/>
              <w:jc w:val="left"/>
              <w:textAlignment w:val="center"/>
              <w:rPr>
                <w:rFonts w:ascii="宋体" w:hAnsi="宋体" w:cs="宋体"/>
                <w:sz w:val="18"/>
                <w:szCs w:val="18"/>
              </w:rPr>
            </w:pPr>
            <w:r>
              <w:rPr>
                <w:rFonts w:hint="eastAsia" w:ascii="宋体" w:hAnsi="宋体" w:cs="宋体"/>
                <w:color w:val="000000"/>
                <w:kern w:val="0"/>
                <w:sz w:val="18"/>
                <w:szCs w:val="18"/>
                <w:lang w:bidi="ar"/>
              </w:rPr>
              <w:t>湖南金鹰之声传媒有限责任公司</w:t>
            </w:r>
          </w:p>
        </w:tc>
        <w:tc>
          <w:tcPr>
            <w:tcW w:w="2693" w:type="dxa"/>
            <w:vAlign w:val="center"/>
          </w:tcPr>
          <w:p>
            <w:pPr>
              <w:widowControl/>
              <w:jc w:val="right"/>
              <w:textAlignment w:val="center"/>
              <w:rPr>
                <w:rFonts w:ascii="Arial Narrow" w:hAnsi="Arial Narrow"/>
                <w:sz w:val="18"/>
                <w:szCs w:val="18"/>
              </w:rPr>
            </w:pPr>
            <w:r>
              <w:rPr>
                <w:rFonts w:ascii="Arial" w:hAnsi="Arial" w:cs="Arial"/>
                <w:color w:val="000000"/>
                <w:kern w:val="0"/>
                <w:sz w:val="18"/>
                <w:szCs w:val="18"/>
                <w:lang w:bidi="ar"/>
              </w:rPr>
              <w:t>1</w:t>
            </w:r>
            <w:r>
              <w:rPr>
                <w:rFonts w:hint="eastAsia" w:ascii="Arial" w:hAnsi="Arial" w:cs="Arial"/>
                <w:color w:val="000000"/>
                <w:kern w:val="0"/>
                <w:sz w:val="18"/>
                <w:szCs w:val="18"/>
                <w:lang w:bidi="ar"/>
              </w:rPr>
              <w:t>,460,000.00</w:t>
            </w:r>
            <w:r>
              <w:rPr>
                <w:rFonts w:ascii="Arial" w:hAnsi="Arial" w:cs="Arial"/>
                <w:color w:val="000000"/>
                <w:kern w:val="0"/>
                <w:sz w:val="18"/>
                <w:szCs w:val="18"/>
                <w:lang w:bidi="ar"/>
              </w:rPr>
              <w:t xml:space="preserve"> </w:t>
            </w:r>
          </w:p>
        </w:tc>
        <w:tc>
          <w:tcPr>
            <w:tcW w:w="2801" w:type="dxa"/>
            <w:vAlign w:val="center"/>
          </w:tcPr>
          <w:p>
            <w:pPr>
              <w:widowControl/>
              <w:textAlignment w:val="center"/>
              <w:rPr>
                <w:rFonts w:cs="宋体" w:asciiTheme="majorEastAsia" w:hAnsiTheme="majorEastAsia" w:eastAsiaTheme="majorEastAsia"/>
                <w:sz w:val="18"/>
                <w:szCs w:val="18"/>
              </w:rPr>
            </w:pPr>
            <w:r>
              <w:rPr>
                <w:rFonts w:hint="eastAsia" w:cs="宋体" w:asciiTheme="majorEastAsia" w:hAnsiTheme="majorEastAsia" w:eastAsiaTheme="majorEastAsia"/>
                <w:sz w:val="18"/>
                <w:szCs w:val="18"/>
              </w:rPr>
              <w:t>经营</w:t>
            </w:r>
            <w:r>
              <w:rPr>
                <w:rFonts w:cs="宋体" w:asciiTheme="majorEastAsia" w:hAnsiTheme="majorEastAsia" w:eastAsiaTheme="majorEastAsia"/>
                <w:sz w:val="18"/>
                <w:szCs w:val="18"/>
              </w:rPr>
              <w:t>需要</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3226" w:type="dxa"/>
            <w:tcBorders>
              <w:bottom w:val="single" w:color="auto" w:sz="12" w:space="0"/>
            </w:tcBorders>
            <w:vAlign w:val="center"/>
          </w:tcPr>
          <w:p>
            <w:pPr>
              <w:widowControl/>
              <w:jc w:val="left"/>
              <w:textAlignment w:val="center"/>
              <w:rPr>
                <w:rFonts w:ascii="宋体" w:hAnsi="宋体" w:cs="Arial Narrow"/>
                <w:snapToGrid w:val="0"/>
                <w:kern w:val="0"/>
                <w:sz w:val="18"/>
                <w:szCs w:val="18"/>
              </w:rPr>
            </w:pPr>
            <w:r>
              <w:rPr>
                <w:rFonts w:hint="eastAsia" w:ascii="宋体" w:hAnsi="宋体" w:cs="宋体"/>
                <w:color w:val="000000"/>
                <w:kern w:val="0"/>
                <w:sz w:val="18"/>
                <w:szCs w:val="18"/>
                <w:lang w:bidi="ar"/>
              </w:rPr>
              <w:t>合    计</w:t>
            </w:r>
          </w:p>
        </w:tc>
        <w:tc>
          <w:tcPr>
            <w:tcW w:w="2693" w:type="dxa"/>
            <w:tcBorders>
              <w:bottom w:val="single" w:color="auto" w:sz="12" w:space="0"/>
            </w:tcBorders>
            <w:vAlign w:val="center"/>
          </w:tcPr>
          <w:p>
            <w:pPr>
              <w:widowControl/>
              <w:jc w:val="right"/>
              <w:textAlignment w:val="center"/>
              <w:rPr>
                <w:rFonts w:ascii="Arial Narrow" w:hAnsi="Arial Narrow"/>
                <w:sz w:val="18"/>
                <w:szCs w:val="18"/>
              </w:rPr>
            </w:pPr>
            <w:r>
              <w:rPr>
                <w:rFonts w:ascii="Arial" w:hAnsi="Arial" w:cs="Arial"/>
                <w:color w:val="000000"/>
                <w:kern w:val="0"/>
                <w:sz w:val="18"/>
                <w:szCs w:val="18"/>
                <w:lang w:bidi="ar"/>
              </w:rPr>
              <w:t xml:space="preserve"> 1</w:t>
            </w:r>
            <w:r>
              <w:rPr>
                <w:rFonts w:hint="eastAsia" w:ascii="Arial" w:hAnsi="Arial" w:cs="Arial"/>
                <w:color w:val="000000"/>
                <w:kern w:val="0"/>
                <w:sz w:val="18"/>
                <w:szCs w:val="18"/>
                <w:lang w:bidi="ar"/>
              </w:rPr>
              <w:t>,460,000.00</w:t>
            </w:r>
            <w:r>
              <w:rPr>
                <w:rFonts w:ascii="Arial" w:hAnsi="Arial" w:cs="Arial"/>
                <w:color w:val="000000"/>
                <w:kern w:val="0"/>
                <w:sz w:val="18"/>
                <w:szCs w:val="18"/>
                <w:lang w:bidi="ar"/>
              </w:rPr>
              <w:t xml:space="preserve">  </w:t>
            </w:r>
          </w:p>
        </w:tc>
        <w:tc>
          <w:tcPr>
            <w:tcW w:w="2801" w:type="dxa"/>
            <w:tcBorders>
              <w:bottom w:val="single" w:color="auto" w:sz="12" w:space="0"/>
            </w:tcBorders>
            <w:vAlign w:val="center"/>
          </w:tcPr>
          <w:p>
            <w:pPr>
              <w:jc w:val="left"/>
              <w:rPr>
                <w:rFonts w:ascii="Arial Narrow" w:hAnsi="Arial Narrow" w:cs="Arial Narrow"/>
                <w:snapToGrid w:val="0"/>
                <w:kern w:val="0"/>
                <w:sz w:val="18"/>
                <w:szCs w:val="18"/>
              </w:rPr>
            </w:pPr>
          </w:p>
        </w:tc>
      </w:tr>
    </w:tbl>
    <w:p>
      <w:pPr>
        <w:pStyle w:val="15"/>
        <w:numPr>
          <w:ilvl w:val="0"/>
          <w:numId w:val="6"/>
        </w:numPr>
        <w:tabs>
          <w:tab w:val="left" w:pos="426"/>
          <w:tab w:val="left" w:pos="851"/>
          <w:tab w:val="left" w:pos="1134"/>
          <w:tab w:val="left" w:pos="1276"/>
        </w:tabs>
        <w:snapToGrid w:val="0"/>
        <w:spacing w:after="156" w:afterLines="50" w:line="460" w:lineRule="atLeast"/>
        <w:outlineLvl w:val="1"/>
        <w:rPr>
          <w:rFonts w:hAnsi="宋体" w:cs="Times New Roman"/>
          <w:bCs/>
          <w:snapToGrid w:val="0"/>
          <w:kern w:val="0"/>
          <w:szCs w:val="22"/>
        </w:rPr>
      </w:pPr>
      <w:r>
        <w:rPr>
          <w:rFonts w:hint="eastAsia" w:hAnsi="宋体" w:cs="Times New Roman"/>
          <w:bCs/>
          <w:snapToGrid w:val="0"/>
          <w:kern w:val="0"/>
          <w:szCs w:val="22"/>
        </w:rPr>
        <w:t>实收</w:t>
      </w:r>
      <w:r>
        <w:rPr>
          <w:rFonts w:hAnsi="宋体" w:cs="Times New Roman"/>
          <w:bCs/>
          <w:snapToGrid w:val="0"/>
          <w:kern w:val="0"/>
          <w:szCs w:val="22"/>
        </w:rPr>
        <w:t>资本</w:t>
      </w:r>
    </w:p>
    <w:tbl>
      <w:tblPr>
        <w:tblStyle w:val="31"/>
        <w:tblW w:w="9945" w:type="dxa"/>
        <w:tblInd w:w="-627"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595"/>
        <w:gridCol w:w="1410"/>
        <w:gridCol w:w="885"/>
        <w:gridCol w:w="1290"/>
        <w:gridCol w:w="1320"/>
        <w:gridCol w:w="1365"/>
        <w:gridCol w:w="1080"/>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2595" w:type="dxa"/>
            <w:vMerge w:val="restart"/>
            <w:tcBorders>
              <w:top w:val="single" w:color="auto" w:sz="12" w:space="0"/>
            </w:tcBorders>
            <w:vAlign w:val="center"/>
          </w:tcPr>
          <w:p>
            <w:pPr>
              <w:tabs>
                <w:tab w:val="right" w:pos="7740"/>
              </w:tabs>
              <w:adjustRightInd w:val="0"/>
              <w:snapToGrid w:val="0"/>
              <w:jc w:val="center"/>
              <w:rPr>
                <w:rFonts w:ascii="Arial Narrow" w:hAnsi="Arial Narrow" w:cs="Arial Narrow"/>
                <w:snapToGrid w:val="0"/>
                <w:kern w:val="0"/>
                <w:sz w:val="18"/>
                <w:szCs w:val="18"/>
              </w:rPr>
            </w:pPr>
            <w:r>
              <w:rPr>
                <w:rFonts w:hint="eastAsia" w:ascii="Arial Narrow" w:hAnsi="宋体" w:cs="宋体"/>
                <w:snapToGrid w:val="0"/>
                <w:kern w:val="0"/>
                <w:sz w:val="18"/>
                <w:szCs w:val="18"/>
              </w:rPr>
              <w:t>投资者名称</w:t>
            </w:r>
          </w:p>
        </w:tc>
        <w:tc>
          <w:tcPr>
            <w:tcW w:w="2295" w:type="dxa"/>
            <w:gridSpan w:val="2"/>
            <w:tcBorders>
              <w:top w:val="single" w:color="auto" w:sz="12" w:space="0"/>
            </w:tcBorders>
            <w:vAlign w:val="center"/>
          </w:tcPr>
          <w:p>
            <w:pPr>
              <w:tabs>
                <w:tab w:val="right" w:pos="7740"/>
              </w:tabs>
              <w:adjustRightInd w:val="0"/>
              <w:snapToGrid w:val="0"/>
              <w:jc w:val="center"/>
              <w:rPr>
                <w:rFonts w:ascii="Arial Narrow" w:hAnsi="Arial Narrow" w:cs="Arial Narrow"/>
                <w:snapToGrid w:val="0"/>
                <w:kern w:val="0"/>
                <w:sz w:val="18"/>
                <w:szCs w:val="18"/>
              </w:rPr>
            </w:pPr>
            <w:r>
              <w:rPr>
                <w:rFonts w:hint="eastAsia" w:ascii="Arial Narrow" w:hAnsi="宋体" w:cs="宋体"/>
                <w:snapToGrid w:val="0"/>
                <w:kern w:val="0"/>
                <w:sz w:val="18"/>
                <w:szCs w:val="18"/>
              </w:rPr>
              <w:t>期初数</w:t>
            </w:r>
          </w:p>
        </w:tc>
        <w:tc>
          <w:tcPr>
            <w:tcW w:w="1290" w:type="dxa"/>
            <w:vMerge w:val="restart"/>
            <w:tcBorders>
              <w:top w:val="single" w:color="auto" w:sz="12" w:space="0"/>
            </w:tcBorders>
            <w:vAlign w:val="center"/>
          </w:tcPr>
          <w:p>
            <w:pPr>
              <w:tabs>
                <w:tab w:val="right" w:pos="7740"/>
              </w:tabs>
              <w:adjustRightInd w:val="0"/>
              <w:snapToGrid w:val="0"/>
              <w:jc w:val="center"/>
              <w:rPr>
                <w:rFonts w:ascii="Arial Narrow" w:hAnsi="Arial Narrow" w:cs="Arial Narrow"/>
                <w:snapToGrid w:val="0"/>
                <w:kern w:val="0"/>
                <w:sz w:val="18"/>
                <w:szCs w:val="18"/>
              </w:rPr>
            </w:pPr>
            <w:r>
              <w:rPr>
                <w:rFonts w:hint="eastAsia" w:ascii="Arial Narrow" w:hAnsi="宋体" w:cs="宋体"/>
                <w:snapToGrid w:val="0"/>
                <w:kern w:val="0"/>
                <w:sz w:val="18"/>
                <w:szCs w:val="18"/>
              </w:rPr>
              <w:t>本期增加</w:t>
            </w:r>
          </w:p>
        </w:tc>
        <w:tc>
          <w:tcPr>
            <w:tcW w:w="1320" w:type="dxa"/>
            <w:vMerge w:val="restart"/>
            <w:tcBorders>
              <w:top w:val="single" w:color="auto" w:sz="12" w:space="0"/>
            </w:tcBorders>
            <w:vAlign w:val="center"/>
          </w:tcPr>
          <w:p>
            <w:pPr>
              <w:tabs>
                <w:tab w:val="right" w:pos="7740"/>
              </w:tabs>
              <w:adjustRightInd w:val="0"/>
              <w:snapToGrid w:val="0"/>
              <w:jc w:val="center"/>
              <w:rPr>
                <w:rFonts w:ascii="Arial Narrow" w:hAnsi="Arial Narrow" w:cs="Arial Narrow"/>
                <w:snapToGrid w:val="0"/>
                <w:kern w:val="0"/>
                <w:sz w:val="18"/>
                <w:szCs w:val="18"/>
              </w:rPr>
            </w:pPr>
            <w:r>
              <w:rPr>
                <w:rFonts w:hint="eastAsia" w:ascii="Arial Narrow" w:hAnsi="宋体" w:cs="宋体"/>
                <w:snapToGrid w:val="0"/>
                <w:kern w:val="0"/>
                <w:sz w:val="18"/>
                <w:szCs w:val="18"/>
              </w:rPr>
              <w:t>本期减少</w:t>
            </w:r>
          </w:p>
        </w:tc>
        <w:tc>
          <w:tcPr>
            <w:tcW w:w="2445" w:type="dxa"/>
            <w:gridSpan w:val="2"/>
            <w:tcBorders>
              <w:top w:val="single" w:color="auto" w:sz="12" w:space="0"/>
            </w:tcBorders>
            <w:vAlign w:val="center"/>
          </w:tcPr>
          <w:p>
            <w:pPr>
              <w:tabs>
                <w:tab w:val="right" w:pos="7740"/>
              </w:tabs>
              <w:adjustRightInd w:val="0"/>
              <w:snapToGrid w:val="0"/>
              <w:jc w:val="center"/>
              <w:rPr>
                <w:rFonts w:ascii="Arial Narrow" w:hAnsi="Arial Narrow" w:cs="Arial Narrow"/>
                <w:snapToGrid w:val="0"/>
                <w:kern w:val="0"/>
                <w:sz w:val="18"/>
                <w:szCs w:val="18"/>
              </w:rPr>
            </w:pPr>
            <w:r>
              <w:rPr>
                <w:rFonts w:hint="eastAsia" w:ascii="Arial Narrow" w:hAnsi="Arial Narrow" w:cs="宋体"/>
                <w:snapToGrid w:val="0"/>
                <w:kern w:val="0"/>
                <w:sz w:val="18"/>
                <w:szCs w:val="16"/>
              </w:rPr>
              <w:t>期末余额</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2595" w:type="dxa"/>
            <w:vMerge w:val="continue"/>
            <w:vAlign w:val="center"/>
          </w:tcPr>
          <w:p>
            <w:pPr>
              <w:tabs>
                <w:tab w:val="right" w:pos="7740"/>
              </w:tabs>
              <w:adjustRightInd w:val="0"/>
              <w:snapToGrid w:val="0"/>
              <w:jc w:val="center"/>
              <w:rPr>
                <w:rFonts w:ascii="Arial Narrow" w:hAnsi="Arial Narrow" w:cs="Arial Narrow"/>
                <w:snapToGrid w:val="0"/>
                <w:kern w:val="0"/>
                <w:sz w:val="18"/>
                <w:szCs w:val="18"/>
              </w:rPr>
            </w:pPr>
          </w:p>
        </w:tc>
        <w:tc>
          <w:tcPr>
            <w:tcW w:w="1410" w:type="dxa"/>
            <w:vAlign w:val="center"/>
          </w:tcPr>
          <w:p>
            <w:pPr>
              <w:tabs>
                <w:tab w:val="right" w:pos="7740"/>
              </w:tabs>
              <w:adjustRightInd w:val="0"/>
              <w:snapToGrid w:val="0"/>
              <w:jc w:val="center"/>
              <w:rPr>
                <w:rFonts w:ascii="Arial Narrow" w:hAnsi="Arial Narrow" w:cs="Arial Narrow"/>
                <w:snapToGrid w:val="0"/>
                <w:kern w:val="0"/>
                <w:sz w:val="18"/>
                <w:szCs w:val="18"/>
              </w:rPr>
            </w:pPr>
            <w:r>
              <w:rPr>
                <w:rFonts w:hint="eastAsia" w:ascii="Arial Narrow" w:hAnsi="宋体" w:cs="宋体"/>
                <w:snapToGrid w:val="0"/>
                <w:kern w:val="0"/>
                <w:sz w:val="18"/>
                <w:szCs w:val="18"/>
              </w:rPr>
              <w:t>投资金额</w:t>
            </w:r>
          </w:p>
        </w:tc>
        <w:tc>
          <w:tcPr>
            <w:tcW w:w="885" w:type="dxa"/>
            <w:vAlign w:val="center"/>
          </w:tcPr>
          <w:p>
            <w:pPr>
              <w:tabs>
                <w:tab w:val="right" w:pos="7740"/>
              </w:tabs>
              <w:adjustRightInd w:val="0"/>
              <w:snapToGrid w:val="0"/>
              <w:jc w:val="center"/>
              <w:rPr>
                <w:rFonts w:ascii="Arial Narrow" w:hAnsi="Arial Narrow" w:cs="Arial Narrow"/>
                <w:snapToGrid w:val="0"/>
                <w:kern w:val="0"/>
                <w:sz w:val="18"/>
                <w:szCs w:val="18"/>
              </w:rPr>
            </w:pPr>
            <w:r>
              <w:rPr>
                <w:rFonts w:hint="eastAsia" w:ascii="Arial Narrow" w:hAnsi="宋体" w:cs="宋体"/>
                <w:snapToGrid w:val="0"/>
                <w:kern w:val="0"/>
                <w:sz w:val="18"/>
                <w:szCs w:val="18"/>
              </w:rPr>
              <w:t>比例</w:t>
            </w:r>
            <w:r>
              <w:rPr>
                <w:rFonts w:ascii="Arial Narrow" w:hAnsi="宋体" w:cs="宋体"/>
                <w:snapToGrid w:val="0"/>
                <w:kern w:val="0"/>
                <w:sz w:val="18"/>
                <w:szCs w:val="18"/>
              </w:rPr>
              <w:t>%</w:t>
            </w:r>
          </w:p>
        </w:tc>
        <w:tc>
          <w:tcPr>
            <w:tcW w:w="1290" w:type="dxa"/>
            <w:vMerge w:val="continue"/>
            <w:vAlign w:val="center"/>
          </w:tcPr>
          <w:p>
            <w:pPr>
              <w:tabs>
                <w:tab w:val="right" w:pos="7740"/>
              </w:tabs>
              <w:adjustRightInd w:val="0"/>
              <w:snapToGrid w:val="0"/>
              <w:jc w:val="center"/>
              <w:rPr>
                <w:rFonts w:ascii="Arial Narrow" w:hAnsi="Arial Narrow" w:cs="Arial Narrow"/>
                <w:snapToGrid w:val="0"/>
                <w:kern w:val="0"/>
                <w:sz w:val="18"/>
                <w:szCs w:val="18"/>
              </w:rPr>
            </w:pPr>
          </w:p>
        </w:tc>
        <w:tc>
          <w:tcPr>
            <w:tcW w:w="1320" w:type="dxa"/>
            <w:vMerge w:val="continue"/>
            <w:vAlign w:val="center"/>
          </w:tcPr>
          <w:p>
            <w:pPr>
              <w:tabs>
                <w:tab w:val="right" w:pos="7740"/>
              </w:tabs>
              <w:adjustRightInd w:val="0"/>
              <w:snapToGrid w:val="0"/>
              <w:jc w:val="center"/>
              <w:rPr>
                <w:rFonts w:ascii="Arial Narrow" w:hAnsi="Arial Narrow" w:cs="Arial Narrow"/>
                <w:snapToGrid w:val="0"/>
                <w:kern w:val="0"/>
                <w:sz w:val="18"/>
                <w:szCs w:val="18"/>
              </w:rPr>
            </w:pPr>
          </w:p>
        </w:tc>
        <w:tc>
          <w:tcPr>
            <w:tcW w:w="1365" w:type="dxa"/>
            <w:vAlign w:val="center"/>
          </w:tcPr>
          <w:p>
            <w:pPr>
              <w:tabs>
                <w:tab w:val="right" w:pos="7740"/>
              </w:tabs>
              <w:adjustRightInd w:val="0"/>
              <w:snapToGrid w:val="0"/>
              <w:jc w:val="center"/>
              <w:rPr>
                <w:rFonts w:ascii="Arial Narrow" w:hAnsi="Arial Narrow" w:cs="Arial Narrow"/>
                <w:snapToGrid w:val="0"/>
                <w:kern w:val="0"/>
                <w:sz w:val="18"/>
                <w:szCs w:val="18"/>
              </w:rPr>
            </w:pPr>
            <w:r>
              <w:rPr>
                <w:rFonts w:hint="eastAsia" w:ascii="Arial Narrow" w:hAnsi="宋体" w:cs="宋体"/>
                <w:snapToGrid w:val="0"/>
                <w:kern w:val="0"/>
                <w:sz w:val="18"/>
                <w:szCs w:val="18"/>
              </w:rPr>
              <w:t>投资金额</w:t>
            </w:r>
          </w:p>
        </w:tc>
        <w:tc>
          <w:tcPr>
            <w:tcW w:w="1080" w:type="dxa"/>
            <w:vAlign w:val="center"/>
          </w:tcPr>
          <w:p>
            <w:pPr>
              <w:tabs>
                <w:tab w:val="right" w:pos="7740"/>
              </w:tabs>
              <w:adjustRightInd w:val="0"/>
              <w:snapToGrid w:val="0"/>
              <w:jc w:val="center"/>
              <w:rPr>
                <w:rFonts w:ascii="Arial Narrow" w:hAnsi="Arial Narrow" w:cs="Arial Narrow"/>
                <w:snapToGrid w:val="0"/>
                <w:kern w:val="0"/>
                <w:sz w:val="18"/>
                <w:szCs w:val="18"/>
              </w:rPr>
            </w:pPr>
            <w:r>
              <w:rPr>
                <w:rFonts w:hint="eastAsia" w:ascii="Arial Narrow" w:hAnsi="宋体" w:cs="宋体"/>
                <w:snapToGrid w:val="0"/>
                <w:kern w:val="0"/>
                <w:sz w:val="18"/>
                <w:szCs w:val="18"/>
              </w:rPr>
              <w:t>比例</w:t>
            </w:r>
            <w:r>
              <w:rPr>
                <w:rFonts w:ascii="Arial Narrow" w:hAnsi="宋体" w:cs="宋体"/>
                <w:snapToGrid w:val="0"/>
                <w:kern w:val="0"/>
                <w:sz w:val="18"/>
                <w:szCs w:val="18"/>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2595" w:type="dxa"/>
            <w:vAlign w:val="center"/>
          </w:tcPr>
          <w:p>
            <w:pPr>
              <w:jc w:val="left"/>
              <w:rPr>
                <w:rFonts w:ascii="Arial Narrow" w:hAnsi="Arial Narrow" w:cs="Arial Narrow"/>
                <w:snapToGrid w:val="0"/>
                <w:kern w:val="0"/>
                <w:sz w:val="18"/>
                <w:szCs w:val="18"/>
              </w:rPr>
            </w:pPr>
            <w:r>
              <w:rPr>
                <w:rFonts w:hint="eastAsia" w:ascii="宋体" w:hAnsi="宋体" w:cs="宋体"/>
                <w:color w:val="000000"/>
                <w:kern w:val="0"/>
                <w:sz w:val="18"/>
                <w:szCs w:val="18"/>
                <w:lang w:bidi="ar"/>
              </w:rPr>
              <w:t>湖南金鹰之声传媒有限责任公司</w:t>
            </w:r>
          </w:p>
        </w:tc>
        <w:tc>
          <w:tcPr>
            <w:tcW w:w="1410" w:type="dxa"/>
            <w:vAlign w:val="center"/>
          </w:tcPr>
          <w:p>
            <w:pPr>
              <w:jc w:val="right"/>
              <w:rPr>
                <w:rFonts w:ascii="Arial" w:hAnsi="Arial" w:cs="Arial"/>
                <w:color w:val="000000"/>
                <w:sz w:val="18"/>
                <w:szCs w:val="18"/>
              </w:rPr>
            </w:pPr>
            <w:r>
              <w:rPr>
                <w:rFonts w:ascii="Arial" w:hAnsi="Arial" w:cs="Arial"/>
                <w:color w:val="000000"/>
                <w:sz w:val="18"/>
                <w:szCs w:val="18"/>
              </w:rPr>
              <w:t>1,000,000.00</w:t>
            </w:r>
          </w:p>
        </w:tc>
        <w:tc>
          <w:tcPr>
            <w:tcW w:w="885" w:type="dxa"/>
            <w:vAlign w:val="center"/>
          </w:tcPr>
          <w:p>
            <w:pPr>
              <w:jc w:val="right"/>
              <w:rPr>
                <w:rFonts w:ascii="Arial" w:hAnsi="Arial" w:cs="Arial"/>
                <w:color w:val="000000"/>
                <w:sz w:val="18"/>
                <w:szCs w:val="18"/>
              </w:rPr>
            </w:pPr>
            <w:r>
              <w:rPr>
                <w:rFonts w:ascii="Arial" w:hAnsi="Arial" w:cs="Arial"/>
                <w:color w:val="000000"/>
                <w:sz w:val="18"/>
                <w:szCs w:val="18"/>
              </w:rPr>
              <w:t>100.00</w:t>
            </w:r>
          </w:p>
        </w:tc>
        <w:tc>
          <w:tcPr>
            <w:tcW w:w="1290" w:type="dxa"/>
            <w:vAlign w:val="center"/>
          </w:tcPr>
          <w:p>
            <w:pPr>
              <w:jc w:val="right"/>
              <w:rPr>
                <w:rFonts w:ascii="Arial" w:hAnsi="Arial" w:cs="Arial"/>
                <w:color w:val="000000"/>
                <w:sz w:val="18"/>
                <w:szCs w:val="18"/>
              </w:rPr>
            </w:pPr>
          </w:p>
        </w:tc>
        <w:tc>
          <w:tcPr>
            <w:tcW w:w="1320" w:type="dxa"/>
            <w:vAlign w:val="center"/>
          </w:tcPr>
          <w:p>
            <w:pPr>
              <w:jc w:val="right"/>
              <w:rPr>
                <w:rFonts w:ascii="Arial" w:hAnsi="Arial" w:cs="Arial"/>
                <w:color w:val="000000"/>
                <w:sz w:val="18"/>
                <w:szCs w:val="18"/>
              </w:rPr>
            </w:pPr>
          </w:p>
        </w:tc>
        <w:tc>
          <w:tcPr>
            <w:tcW w:w="1365" w:type="dxa"/>
            <w:vAlign w:val="center"/>
          </w:tcPr>
          <w:p>
            <w:pPr>
              <w:jc w:val="right"/>
              <w:rPr>
                <w:rFonts w:ascii="Arial" w:hAnsi="Arial" w:cs="Arial"/>
                <w:color w:val="000000"/>
                <w:sz w:val="18"/>
                <w:szCs w:val="18"/>
              </w:rPr>
            </w:pPr>
            <w:r>
              <w:rPr>
                <w:rFonts w:ascii="Arial" w:hAnsi="Arial" w:cs="Arial"/>
                <w:color w:val="000000"/>
                <w:sz w:val="18"/>
                <w:szCs w:val="18"/>
              </w:rPr>
              <w:t>1,000,000.00</w:t>
            </w:r>
          </w:p>
        </w:tc>
        <w:tc>
          <w:tcPr>
            <w:tcW w:w="1080" w:type="dxa"/>
            <w:vAlign w:val="center"/>
          </w:tcPr>
          <w:p>
            <w:pPr>
              <w:widowControl/>
              <w:jc w:val="right"/>
              <w:textAlignment w:val="center"/>
              <w:rPr>
                <w:rFonts w:ascii="Arial" w:hAnsi="Arial" w:cs="Arial"/>
                <w:color w:val="000000"/>
                <w:sz w:val="18"/>
                <w:szCs w:val="18"/>
              </w:rPr>
            </w:pPr>
            <w:r>
              <w:rPr>
                <w:rFonts w:hint="eastAsia" w:ascii="Arial" w:hAnsi="Arial" w:cs="Arial"/>
                <w:color w:val="000000"/>
                <w:sz w:val="18"/>
                <w:szCs w:val="18"/>
              </w:rPr>
              <w:t>100.00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2595" w:type="dxa"/>
            <w:tcBorders>
              <w:bottom w:val="single" w:color="auto" w:sz="12" w:space="0"/>
            </w:tcBorders>
            <w:vAlign w:val="center"/>
          </w:tcPr>
          <w:p>
            <w:pPr>
              <w:tabs>
                <w:tab w:val="right" w:pos="7740"/>
              </w:tabs>
              <w:adjustRightInd w:val="0"/>
              <w:snapToGrid w:val="0"/>
              <w:jc w:val="center"/>
              <w:rPr>
                <w:rFonts w:ascii="Arial Narrow" w:hAnsi="Arial Narrow" w:cs="Arial Narrow"/>
                <w:snapToGrid w:val="0"/>
                <w:kern w:val="0"/>
                <w:sz w:val="18"/>
                <w:szCs w:val="18"/>
              </w:rPr>
            </w:pPr>
            <w:r>
              <w:rPr>
                <w:rFonts w:hint="eastAsia" w:ascii="Arial Narrow" w:hAnsi="宋体" w:cs="宋体"/>
                <w:snapToGrid w:val="0"/>
                <w:kern w:val="0"/>
                <w:sz w:val="18"/>
                <w:szCs w:val="18"/>
              </w:rPr>
              <w:t>合计</w:t>
            </w:r>
          </w:p>
        </w:tc>
        <w:tc>
          <w:tcPr>
            <w:tcW w:w="1410" w:type="dxa"/>
            <w:tcBorders>
              <w:bottom w:val="single" w:color="auto" w:sz="12" w:space="0"/>
            </w:tcBorders>
            <w:vAlign w:val="center"/>
          </w:tcPr>
          <w:p>
            <w:pPr>
              <w:jc w:val="right"/>
              <w:rPr>
                <w:rFonts w:ascii="Arial" w:hAnsi="Arial" w:cs="Arial"/>
                <w:color w:val="000000"/>
                <w:sz w:val="18"/>
                <w:szCs w:val="18"/>
              </w:rPr>
            </w:pPr>
            <w:r>
              <w:rPr>
                <w:rFonts w:ascii="Arial" w:hAnsi="Arial" w:cs="Arial"/>
                <w:color w:val="000000"/>
                <w:sz w:val="18"/>
                <w:szCs w:val="18"/>
              </w:rPr>
              <w:t>1,000,000.00</w:t>
            </w:r>
          </w:p>
        </w:tc>
        <w:tc>
          <w:tcPr>
            <w:tcW w:w="885" w:type="dxa"/>
            <w:tcBorders>
              <w:bottom w:val="single" w:color="auto" w:sz="12" w:space="0"/>
            </w:tcBorders>
            <w:vAlign w:val="center"/>
          </w:tcPr>
          <w:p>
            <w:pPr>
              <w:jc w:val="right"/>
              <w:rPr>
                <w:rFonts w:ascii="Arial" w:hAnsi="Arial" w:cs="Arial"/>
                <w:color w:val="000000"/>
                <w:sz w:val="18"/>
                <w:szCs w:val="18"/>
              </w:rPr>
            </w:pPr>
            <w:r>
              <w:rPr>
                <w:rFonts w:ascii="Arial" w:hAnsi="Arial" w:cs="Arial"/>
                <w:color w:val="000000"/>
                <w:sz w:val="18"/>
                <w:szCs w:val="18"/>
              </w:rPr>
              <w:t>100.00</w:t>
            </w:r>
          </w:p>
        </w:tc>
        <w:tc>
          <w:tcPr>
            <w:tcW w:w="1290" w:type="dxa"/>
            <w:tcBorders>
              <w:bottom w:val="single" w:color="auto" w:sz="12" w:space="0"/>
            </w:tcBorders>
            <w:vAlign w:val="center"/>
          </w:tcPr>
          <w:p>
            <w:pPr>
              <w:jc w:val="right"/>
              <w:rPr>
                <w:rFonts w:ascii="Arial" w:hAnsi="Arial" w:cs="Arial"/>
                <w:color w:val="000000"/>
                <w:sz w:val="18"/>
                <w:szCs w:val="18"/>
              </w:rPr>
            </w:pPr>
          </w:p>
        </w:tc>
        <w:tc>
          <w:tcPr>
            <w:tcW w:w="1320" w:type="dxa"/>
            <w:tcBorders>
              <w:bottom w:val="single" w:color="auto" w:sz="12" w:space="0"/>
            </w:tcBorders>
            <w:vAlign w:val="center"/>
          </w:tcPr>
          <w:p>
            <w:pPr>
              <w:jc w:val="right"/>
              <w:rPr>
                <w:rFonts w:ascii="Arial" w:hAnsi="Arial" w:cs="Arial"/>
                <w:color w:val="000000"/>
                <w:sz w:val="18"/>
                <w:szCs w:val="18"/>
              </w:rPr>
            </w:pPr>
          </w:p>
        </w:tc>
        <w:tc>
          <w:tcPr>
            <w:tcW w:w="1365" w:type="dxa"/>
            <w:tcBorders>
              <w:bottom w:val="single" w:color="auto" w:sz="12" w:space="0"/>
            </w:tcBorders>
            <w:vAlign w:val="center"/>
          </w:tcPr>
          <w:p>
            <w:pPr>
              <w:jc w:val="right"/>
              <w:rPr>
                <w:rFonts w:ascii="Arial" w:hAnsi="Arial" w:cs="Arial"/>
                <w:color w:val="000000"/>
                <w:sz w:val="18"/>
                <w:szCs w:val="18"/>
              </w:rPr>
            </w:pPr>
            <w:r>
              <w:rPr>
                <w:rFonts w:ascii="Arial" w:hAnsi="Arial" w:cs="Arial"/>
                <w:color w:val="000000"/>
                <w:sz w:val="18"/>
                <w:szCs w:val="18"/>
              </w:rPr>
              <w:t>1,000,000.00</w:t>
            </w:r>
          </w:p>
        </w:tc>
        <w:tc>
          <w:tcPr>
            <w:tcW w:w="1080" w:type="dxa"/>
            <w:tcBorders>
              <w:bottom w:val="single" w:color="auto" w:sz="12" w:space="0"/>
            </w:tcBorders>
            <w:vAlign w:val="center"/>
          </w:tcPr>
          <w:p>
            <w:pPr>
              <w:widowControl/>
              <w:jc w:val="right"/>
              <w:textAlignment w:val="center"/>
              <w:rPr>
                <w:rFonts w:ascii="Arial" w:hAnsi="Arial" w:cs="Arial"/>
                <w:color w:val="000000"/>
                <w:sz w:val="18"/>
                <w:szCs w:val="18"/>
              </w:rPr>
            </w:pPr>
            <w:r>
              <w:rPr>
                <w:rFonts w:ascii="Arial" w:hAnsi="Arial" w:cs="Arial"/>
                <w:color w:val="000000"/>
                <w:sz w:val="18"/>
                <w:szCs w:val="18"/>
              </w:rPr>
              <w:t xml:space="preserve">100.00 </w:t>
            </w:r>
          </w:p>
        </w:tc>
      </w:tr>
    </w:tbl>
    <w:p>
      <w:pPr>
        <w:pStyle w:val="15"/>
        <w:numPr>
          <w:ilvl w:val="0"/>
          <w:numId w:val="6"/>
        </w:numPr>
        <w:tabs>
          <w:tab w:val="left" w:pos="426"/>
          <w:tab w:val="left" w:pos="851"/>
          <w:tab w:val="left" w:pos="1134"/>
          <w:tab w:val="left" w:pos="1276"/>
        </w:tabs>
        <w:snapToGrid w:val="0"/>
        <w:spacing w:after="156" w:afterLines="50" w:line="460" w:lineRule="atLeast"/>
        <w:outlineLvl w:val="1"/>
        <w:rPr>
          <w:rFonts w:hAnsi="宋体" w:cs="Times New Roman"/>
          <w:bCs/>
          <w:snapToGrid w:val="0"/>
          <w:kern w:val="0"/>
        </w:rPr>
      </w:pPr>
      <w:r>
        <w:rPr>
          <w:rFonts w:hint="eastAsia" w:hAnsi="宋体" w:cs="Times New Roman"/>
          <w:bCs/>
          <w:snapToGrid w:val="0"/>
          <w:kern w:val="0"/>
        </w:rPr>
        <w:t>未分配利润</w:t>
      </w:r>
    </w:p>
    <w:tbl>
      <w:tblPr>
        <w:tblStyle w:val="31"/>
        <w:tblW w:w="8720" w:type="dxa"/>
        <w:tblInd w:w="0" w:type="dxa"/>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
      <w:tblGrid>
        <w:gridCol w:w="4355"/>
        <w:gridCol w:w="2429"/>
        <w:gridCol w:w="1936"/>
      </w:tblGrid>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340" w:hRule="atLeast"/>
          <w:tblHeader/>
        </w:trPr>
        <w:tc>
          <w:tcPr>
            <w:tcW w:w="4355" w:type="dxa"/>
            <w:vMerge w:val="restart"/>
            <w:tcBorders>
              <w:top w:val="single" w:color="auto" w:sz="12" w:space="0"/>
            </w:tcBorders>
            <w:vAlign w:val="center"/>
          </w:tcPr>
          <w:p>
            <w:pPr>
              <w:snapToGrid w:val="0"/>
              <w:jc w:val="center"/>
              <w:rPr>
                <w:rFonts w:ascii="宋体" w:hAnsi="宋体"/>
                <w:sz w:val="18"/>
                <w:szCs w:val="18"/>
              </w:rPr>
            </w:pPr>
            <w:r>
              <w:rPr>
                <w:rFonts w:hint="eastAsia" w:ascii="宋体" w:hAnsi="宋体" w:cs="宋体"/>
                <w:sz w:val="18"/>
                <w:szCs w:val="18"/>
              </w:rPr>
              <w:t>项</w:t>
            </w:r>
            <w:r>
              <w:rPr>
                <w:rFonts w:ascii="宋体" w:hAnsi="宋体" w:cs="宋体"/>
                <w:sz w:val="18"/>
                <w:szCs w:val="18"/>
              </w:rPr>
              <w:t xml:space="preserve">    </w:t>
            </w:r>
            <w:r>
              <w:rPr>
                <w:rFonts w:hint="eastAsia" w:ascii="宋体" w:hAnsi="宋体" w:cs="宋体"/>
                <w:sz w:val="18"/>
                <w:szCs w:val="18"/>
              </w:rPr>
              <w:t>目</w:t>
            </w:r>
          </w:p>
        </w:tc>
        <w:tc>
          <w:tcPr>
            <w:tcW w:w="4365" w:type="dxa"/>
            <w:gridSpan w:val="2"/>
            <w:tcBorders>
              <w:top w:val="single" w:color="auto" w:sz="12" w:space="0"/>
            </w:tcBorders>
            <w:vAlign w:val="center"/>
          </w:tcPr>
          <w:p>
            <w:pPr>
              <w:snapToGrid w:val="0"/>
              <w:jc w:val="center"/>
              <w:rPr>
                <w:rFonts w:ascii="宋体" w:hAnsi="宋体" w:cs="宋体"/>
                <w:sz w:val="18"/>
                <w:szCs w:val="18"/>
              </w:rPr>
            </w:pPr>
            <w:r>
              <w:rPr>
                <w:rFonts w:hint="eastAsia" w:ascii="宋体" w:hAnsi="宋体" w:cs="宋体"/>
                <w:sz w:val="18"/>
                <w:szCs w:val="18"/>
              </w:rPr>
              <w:t>期末余额</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340" w:hRule="atLeast"/>
          <w:tblHeader/>
        </w:trPr>
        <w:tc>
          <w:tcPr>
            <w:tcW w:w="4355" w:type="dxa"/>
            <w:vMerge w:val="continue"/>
            <w:vAlign w:val="center"/>
          </w:tcPr>
          <w:p>
            <w:pPr>
              <w:snapToGrid w:val="0"/>
              <w:jc w:val="center"/>
              <w:rPr>
                <w:rFonts w:ascii="宋体" w:hAnsi="宋体"/>
                <w:sz w:val="18"/>
                <w:szCs w:val="18"/>
              </w:rPr>
            </w:pPr>
          </w:p>
        </w:tc>
        <w:tc>
          <w:tcPr>
            <w:tcW w:w="2429" w:type="dxa"/>
            <w:vAlign w:val="center"/>
          </w:tcPr>
          <w:p>
            <w:pPr>
              <w:snapToGrid w:val="0"/>
              <w:jc w:val="center"/>
              <w:rPr>
                <w:rFonts w:ascii="宋体" w:hAnsi="宋体" w:cs="Arial Narrow"/>
                <w:sz w:val="18"/>
                <w:szCs w:val="18"/>
              </w:rPr>
            </w:pPr>
            <w:r>
              <w:rPr>
                <w:rFonts w:hint="eastAsia" w:ascii="宋体" w:hAnsi="宋体" w:cs="宋体"/>
                <w:sz w:val="18"/>
                <w:szCs w:val="18"/>
              </w:rPr>
              <w:t>金</w:t>
            </w:r>
            <w:r>
              <w:rPr>
                <w:rFonts w:ascii="宋体" w:hAnsi="宋体" w:cs="Arial Narrow"/>
                <w:sz w:val="18"/>
                <w:szCs w:val="18"/>
              </w:rPr>
              <w:t xml:space="preserve">    </w:t>
            </w:r>
            <w:r>
              <w:rPr>
                <w:rFonts w:hint="eastAsia" w:ascii="宋体" w:hAnsi="宋体" w:cs="宋体"/>
                <w:sz w:val="18"/>
                <w:szCs w:val="18"/>
              </w:rPr>
              <w:t>额</w:t>
            </w:r>
          </w:p>
        </w:tc>
        <w:tc>
          <w:tcPr>
            <w:tcW w:w="1936" w:type="dxa"/>
            <w:vAlign w:val="center"/>
          </w:tcPr>
          <w:p>
            <w:pPr>
              <w:snapToGrid w:val="0"/>
              <w:jc w:val="center"/>
              <w:rPr>
                <w:rFonts w:ascii="宋体" w:hAnsi="宋体" w:cs="Arial Narrow"/>
                <w:sz w:val="18"/>
                <w:szCs w:val="18"/>
              </w:rPr>
            </w:pPr>
            <w:r>
              <w:rPr>
                <w:rFonts w:hint="eastAsia" w:ascii="宋体" w:hAnsi="宋体" w:cs="宋体"/>
                <w:sz w:val="18"/>
                <w:szCs w:val="18"/>
              </w:rPr>
              <w:t>提取或分配比例</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340" w:hRule="atLeast"/>
          <w:tblHeader/>
        </w:trPr>
        <w:tc>
          <w:tcPr>
            <w:tcW w:w="4355" w:type="dxa"/>
            <w:vAlign w:val="center"/>
          </w:tcPr>
          <w:p>
            <w:pPr>
              <w:snapToGrid w:val="0"/>
              <w:jc w:val="left"/>
              <w:rPr>
                <w:rFonts w:ascii="宋体" w:hAnsi="宋体"/>
                <w:sz w:val="18"/>
                <w:szCs w:val="18"/>
              </w:rPr>
            </w:pPr>
            <w:r>
              <w:rPr>
                <w:rFonts w:hint="eastAsia" w:ascii="宋体" w:hAnsi="宋体"/>
                <w:sz w:val="18"/>
                <w:szCs w:val="18"/>
              </w:rPr>
              <w:t>调整前上期末未分配利润</w:t>
            </w:r>
          </w:p>
        </w:tc>
        <w:tc>
          <w:tcPr>
            <w:tcW w:w="2429" w:type="dxa"/>
            <w:vAlign w:val="center"/>
          </w:tcPr>
          <w:p>
            <w:pPr>
              <w:widowControl/>
              <w:jc w:val="right"/>
              <w:textAlignment w:val="center"/>
              <w:rPr>
                <w:rFonts w:ascii="Arial" w:hAnsi="Arial" w:cs="Arial"/>
                <w:sz w:val="18"/>
                <w:szCs w:val="18"/>
              </w:rPr>
            </w:pPr>
            <w:r>
              <w:rPr>
                <w:rFonts w:ascii="Arial" w:hAnsi="Arial" w:cs="Arial"/>
                <w:color w:val="000000"/>
                <w:kern w:val="0"/>
                <w:sz w:val="18"/>
                <w:szCs w:val="18"/>
                <w:lang w:bidi="ar"/>
              </w:rPr>
              <w:t xml:space="preserve"> -1,021,141.65 </w:t>
            </w:r>
          </w:p>
        </w:tc>
        <w:tc>
          <w:tcPr>
            <w:tcW w:w="1936" w:type="dxa"/>
            <w:vAlign w:val="center"/>
          </w:tcPr>
          <w:p>
            <w:pPr>
              <w:snapToGrid w:val="0"/>
              <w:jc w:val="right"/>
              <w:rPr>
                <w:rFonts w:ascii="Arial Narrow" w:hAnsi="Arial Narrow" w:cs="宋体"/>
                <w:sz w:val="18"/>
                <w:szCs w:val="18"/>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340" w:hRule="atLeast"/>
          <w:tblHeader/>
        </w:trPr>
        <w:tc>
          <w:tcPr>
            <w:tcW w:w="4355" w:type="dxa"/>
          </w:tcPr>
          <w:p>
            <w:pPr>
              <w:rPr>
                <w:rFonts w:ascii="宋体" w:hAnsi="宋体"/>
                <w:sz w:val="18"/>
                <w:szCs w:val="18"/>
              </w:rPr>
            </w:pPr>
            <w:r>
              <w:rPr>
                <w:rFonts w:hint="eastAsia" w:ascii="宋体" w:hAnsi="宋体"/>
                <w:sz w:val="18"/>
                <w:szCs w:val="18"/>
              </w:rPr>
              <w:t>调整期初未分配利润合计数（调增</w:t>
            </w:r>
            <w:r>
              <w:rPr>
                <w:rFonts w:ascii="宋体" w:hAnsi="宋体"/>
                <w:sz w:val="18"/>
                <w:szCs w:val="18"/>
              </w:rPr>
              <w:t>+</w:t>
            </w:r>
            <w:r>
              <w:rPr>
                <w:rFonts w:hint="eastAsia" w:ascii="宋体" w:hAnsi="宋体"/>
                <w:sz w:val="18"/>
                <w:szCs w:val="18"/>
              </w:rPr>
              <w:t>，调减</w:t>
            </w:r>
            <w:r>
              <w:rPr>
                <w:rFonts w:ascii="宋体" w:hAnsi="宋体"/>
                <w:sz w:val="18"/>
                <w:szCs w:val="18"/>
              </w:rPr>
              <w:t>-</w:t>
            </w:r>
            <w:r>
              <w:rPr>
                <w:rFonts w:hint="eastAsia" w:ascii="宋体" w:hAnsi="宋体"/>
                <w:sz w:val="18"/>
                <w:szCs w:val="18"/>
              </w:rPr>
              <w:t>）</w:t>
            </w:r>
          </w:p>
        </w:tc>
        <w:tc>
          <w:tcPr>
            <w:tcW w:w="2429" w:type="dxa"/>
            <w:vAlign w:val="center"/>
          </w:tcPr>
          <w:p>
            <w:pPr>
              <w:jc w:val="right"/>
              <w:rPr>
                <w:rFonts w:ascii="Arial" w:hAnsi="Arial" w:cs="Arial"/>
                <w:sz w:val="18"/>
                <w:szCs w:val="18"/>
              </w:rPr>
            </w:pPr>
          </w:p>
        </w:tc>
        <w:tc>
          <w:tcPr>
            <w:tcW w:w="1936" w:type="dxa"/>
            <w:vAlign w:val="center"/>
          </w:tcPr>
          <w:p>
            <w:pPr>
              <w:snapToGrid w:val="0"/>
              <w:jc w:val="right"/>
              <w:rPr>
                <w:rFonts w:ascii="Arial Narrow" w:hAnsi="Arial Narrow" w:cs="宋体"/>
                <w:sz w:val="18"/>
                <w:szCs w:val="18"/>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340" w:hRule="atLeast"/>
          <w:tblHeader/>
        </w:trPr>
        <w:tc>
          <w:tcPr>
            <w:tcW w:w="4355" w:type="dxa"/>
          </w:tcPr>
          <w:p>
            <w:pPr>
              <w:rPr>
                <w:rFonts w:ascii="宋体" w:hAnsi="宋体"/>
                <w:sz w:val="18"/>
                <w:szCs w:val="18"/>
              </w:rPr>
            </w:pPr>
            <w:r>
              <w:rPr>
                <w:rFonts w:hint="eastAsia" w:ascii="宋体" w:hAnsi="宋体"/>
                <w:sz w:val="18"/>
                <w:szCs w:val="18"/>
              </w:rPr>
              <w:t>调整后期初未分配利润</w:t>
            </w:r>
          </w:p>
        </w:tc>
        <w:tc>
          <w:tcPr>
            <w:tcW w:w="2429" w:type="dxa"/>
            <w:vAlign w:val="center"/>
          </w:tcPr>
          <w:p>
            <w:pPr>
              <w:widowControl/>
              <w:jc w:val="right"/>
              <w:textAlignment w:val="center"/>
              <w:rPr>
                <w:rFonts w:ascii="Arial" w:hAnsi="Arial" w:cs="Arial"/>
                <w:sz w:val="18"/>
                <w:szCs w:val="18"/>
              </w:rPr>
            </w:pPr>
            <w:r>
              <w:rPr>
                <w:rFonts w:ascii="Arial" w:hAnsi="Arial" w:cs="Arial"/>
                <w:color w:val="000000"/>
                <w:kern w:val="0"/>
                <w:sz w:val="18"/>
                <w:szCs w:val="18"/>
                <w:lang w:bidi="ar"/>
              </w:rPr>
              <w:t xml:space="preserve"> -1,021,141.65 </w:t>
            </w:r>
          </w:p>
        </w:tc>
        <w:tc>
          <w:tcPr>
            <w:tcW w:w="1936" w:type="dxa"/>
            <w:vAlign w:val="center"/>
          </w:tcPr>
          <w:p>
            <w:pPr>
              <w:snapToGrid w:val="0"/>
              <w:jc w:val="right"/>
              <w:rPr>
                <w:rFonts w:ascii="Arial Narrow" w:hAnsi="Arial Narrow" w:cs="宋体"/>
                <w:sz w:val="18"/>
                <w:szCs w:val="18"/>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cantSplit/>
          <w:trHeight w:val="340" w:hRule="atLeast"/>
        </w:trPr>
        <w:tc>
          <w:tcPr>
            <w:tcW w:w="4355" w:type="dxa"/>
            <w:vAlign w:val="center"/>
          </w:tcPr>
          <w:p>
            <w:pPr>
              <w:snapToGrid w:val="0"/>
              <w:rPr>
                <w:rFonts w:ascii="宋体" w:hAnsi="宋体"/>
                <w:sz w:val="18"/>
                <w:szCs w:val="18"/>
              </w:rPr>
            </w:pPr>
            <w:r>
              <w:rPr>
                <w:rFonts w:hint="eastAsia" w:ascii="宋体" w:hAnsi="宋体" w:cs="宋体"/>
                <w:sz w:val="18"/>
                <w:szCs w:val="18"/>
              </w:rPr>
              <w:t>加：本期归属于母公司所有者的净利润</w:t>
            </w:r>
          </w:p>
        </w:tc>
        <w:tc>
          <w:tcPr>
            <w:tcW w:w="2429" w:type="dxa"/>
            <w:vAlign w:val="center"/>
          </w:tcPr>
          <w:p>
            <w:pPr>
              <w:widowControl/>
              <w:jc w:val="right"/>
              <w:textAlignment w:val="center"/>
              <w:rPr>
                <w:rFonts w:ascii="Arial" w:hAnsi="Arial" w:cs="Arial"/>
                <w:sz w:val="18"/>
                <w:szCs w:val="18"/>
              </w:rPr>
            </w:pPr>
            <w:r>
              <w:rPr>
                <w:rFonts w:ascii="Arial" w:hAnsi="Arial" w:cs="Arial"/>
                <w:color w:val="000000"/>
                <w:kern w:val="0"/>
                <w:sz w:val="18"/>
                <w:szCs w:val="18"/>
                <w:lang w:bidi="ar"/>
              </w:rPr>
              <w:t xml:space="preserve"> -433,973.53 </w:t>
            </w:r>
          </w:p>
        </w:tc>
        <w:tc>
          <w:tcPr>
            <w:tcW w:w="1936" w:type="dxa"/>
            <w:vAlign w:val="center"/>
          </w:tcPr>
          <w:p>
            <w:pPr>
              <w:snapToGrid w:val="0"/>
              <w:jc w:val="right"/>
              <w:rPr>
                <w:rFonts w:ascii="Arial Narrow" w:hAnsi="Arial Narrow" w:cs="Arial Narrow"/>
                <w:sz w:val="18"/>
                <w:szCs w:val="18"/>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cantSplit/>
          <w:trHeight w:val="340" w:hRule="atLeast"/>
        </w:trPr>
        <w:tc>
          <w:tcPr>
            <w:tcW w:w="4355" w:type="dxa"/>
            <w:vAlign w:val="center"/>
          </w:tcPr>
          <w:p>
            <w:pPr>
              <w:snapToGrid w:val="0"/>
              <w:rPr>
                <w:rFonts w:ascii="宋体" w:hAnsi="宋体"/>
                <w:sz w:val="18"/>
                <w:szCs w:val="18"/>
              </w:rPr>
            </w:pPr>
            <w:r>
              <w:rPr>
                <w:rFonts w:hint="eastAsia" w:ascii="宋体" w:hAnsi="宋体" w:cs="宋体"/>
                <w:sz w:val="18"/>
                <w:szCs w:val="18"/>
              </w:rPr>
              <w:t>减：提取法定盈余公积</w:t>
            </w:r>
          </w:p>
        </w:tc>
        <w:tc>
          <w:tcPr>
            <w:tcW w:w="2429" w:type="dxa"/>
            <w:vAlign w:val="center"/>
          </w:tcPr>
          <w:p>
            <w:pPr>
              <w:jc w:val="right"/>
              <w:rPr>
                <w:rFonts w:ascii="Arial" w:hAnsi="Arial" w:cs="Arial"/>
                <w:sz w:val="18"/>
                <w:szCs w:val="18"/>
              </w:rPr>
            </w:pPr>
          </w:p>
        </w:tc>
        <w:tc>
          <w:tcPr>
            <w:tcW w:w="1936" w:type="dxa"/>
            <w:vAlign w:val="center"/>
          </w:tcPr>
          <w:p>
            <w:pPr>
              <w:snapToGrid w:val="0"/>
              <w:jc w:val="right"/>
              <w:rPr>
                <w:rFonts w:ascii="Arial Narrow" w:hAnsi="Arial Narrow" w:cs="Arial Narrow"/>
                <w:sz w:val="18"/>
                <w:szCs w:val="18"/>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cantSplit/>
          <w:trHeight w:val="340" w:hRule="atLeast"/>
        </w:trPr>
        <w:tc>
          <w:tcPr>
            <w:tcW w:w="4355" w:type="dxa"/>
            <w:vAlign w:val="center"/>
          </w:tcPr>
          <w:p>
            <w:pPr>
              <w:snapToGrid w:val="0"/>
              <w:ind w:firstLine="360" w:firstLineChars="200"/>
              <w:rPr>
                <w:rFonts w:ascii="宋体" w:hAnsi="宋体"/>
                <w:sz w:val="18"/>
                <w:szCs w:val="18"/>
              </w:rPr>
            </w:pPr>
            <w:r>
              <w:rPr>
                <w:rFonts w:hint="eastAsia" w:ascii="宋体" w:hAnsi="宋体" w:cs="宋体"/>
                <w:sz w:val="18"/>
                <w:szCs w:val="18"/>
              </w:rPr>
              <w:t>提取任意盈余公积</w:t>
            </w:r>
          </w:p>
        </w:tc>
        <w:tc>
          <w:tcPr>
            <w:tcW w:w="2429" w:type="dxa"/>
            <w:vAlign w:val="center"/>
          </w:tcPr>
          <w:p>
            <w:pPr>
              <w:jc w:val="right"/>
              <w:rPr>
                <w:rFonts w:ascii="Arial" w:hAnsi="Arial" w:cs="Arial"/>
                <w:sz w:val="18"/>
                <w:szCs w:val="18"/>
              </w:rPr>
            </w:pPr>
          </w:p>
        </w:tc>
        <w:tc>
          <w:tcPr>
            <w:tcW w:w="1936" w:type="dxa"/>
            <w:vAlign w:val="center"/>
          </w:tcPr>
          <w:p>
            <w:pPr>
              <w:snapToGrid w:val="0"/>
              <w:jc w:val="right"/>
              <w:rPr>
                <w:rFonts w:ascii="Arial Narrow" w:hAnsi="Arial Narrow" w:cs="Arial Narrow"/>
                <w:sz w:val="18"/>
                <w:szCs w:val="18"/>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cantSplit/>
          <w:trHeight w:val="340" w:hRule="atLeast"/>
        </w:trPr>
        <w:tc>
          <w:tcPr>
            <w:tcW w:w="4355" w:type="dxa"/>
            <w:vAlign w:val="center"/>
          </w:tcPr>
          <w:p>
            <w:pPr>
              <w:snapToGrid w:val="0"/>
              <w:ind w:firstLine="360" w:firstLineChars="200"/>
              <w:rPr>
                <w:rFonts w:ascii="宋体" w:hAnsi="宋体"/>
                <w:sz w:val="18"/>
                <w:szCs w:val="18"/>
              </w:rPr>
            </w:pPr>
            <w:r>
              <w:rPr>
                <w:rFonts w:hint="eastAsia" w:ascii="宋体" w:hAnsi="宋体" w:cs="宋体"/>
                <w:sz w:val="18"/>
                <w:szCs w:val="18"/>
              </w:rPr>
              <w:t>应付普通股股利</w:t>
            </w:r>
          </w:p>
        </w:tc>
        <w:tc>
          <w:tcPr>
            <w:tcW w:w="2429" w:type="dxa"/>
            <w:vAlign w:val="center"/>
          </w:tcPr>
          <w:p>
            <w:pPr>
              <w:jc w:val="right"/>
              <w:rPr>
                <w:rFonts w:ascii="Arial" w:hAnsi="Arial" w:cs="Arial"/>
                <w:sz w:val="18"/>
                <w:szCs w:val="18"/>
              </w:rPr>
            </w:pPr>
          </w:p>
        </w:tc>
        <w:tc>
          <w:tcPr>
            <w:tcW w:w="1936" w:type="dxa"/>
            <w:vAlign w:val="center"/>
          </w:tcPr>
          <w:p>
            <w:pPr>
              <w:snapToGrid w:val="0"/>
              <w:jc w:val="right"/>
              <w:rPr>
                <w:rFonts w:ascii="Arial Narrow" w:hAnsi="Arial Narrow" w:cs="Arial Narrow"/>
                <w:sz w:val="18"/>
                <w:szCs w:val="18"/>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cantSplit/>
          <w:trHeight w:val="340" w:hRule="atLeast"/>
        </w:trPr>
        <w:tc>
          <w:tcPr>
            <w:tcW w:w="4355" w:type="dxa"/>
            <w:vAlign w:val="center"/>
          </w:tcPr>
          <w:p>
            <w:pPr>
              <w:snapToGrid w:val="0"/>
              <w:ind w:firstLine="360" w:firstLineChars="200"/>
              <w:rPr>
                <w:rFonts w:ascii="宋体" w:hAnsi="宋体"/>
                <w:sz w:val="18"/>
                <w:szCs w:val="18"/>
              </w:rPr>
            </w:pPr>
            <w:r>
              <w:rPr>
                <w:rFonts w:hint="eastAsia" w:ascii="宋体" w:hAnsi="宋体" w:cs="宋体"/>
                <w:sz w:val="18"/>
                <w:szCs w:val="18"/>
              </w:rPr>
              <w:t>转作股本的普通股股利</w:t>
            </w:r>
          </w:p>
        </w:tc>
        <w:tc>
          <w:tcPr>
            <w:tcW w:w="2429" w:type="dxa"/>
            <w:vAlign w:val="center"/>
          </w:tcPr>
          <w:p>
            <w:pPr>
              <w:rPr>
                <w:rFonts w:ascii="Arial" w:hAnsi="Arial" w:cs="Arial"/>
                <w:color w:val="000000"/>
                <w:sz w:val="18"/>
                <w:szCs w:val="18"/>
              </w:rPr>
            </w:pPr>
          </w:p>
        </w:tc>
        <w:tc>
          <w:tcPr>
            <w:tcW w:w="1936" w:type="dxa"/>
            <w:vAlign w:val="center"/>
          </w:tcPr>
          <w:p>
            <w:pPr>
              <w:snapToGrid w:val="0"/>
              <w:jc w:val="right"/>
              <w:rPr>
                <w:rFonts w:ascii="Arial Narrow" w:hAnsi="Arial Narrow" w:cs="Arial Narrow"/>
                <w:sz w:val="18"/>
                <w:szCs w:val="18"/>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cantSplit/>
          <w:trHeight w:val="340" w:hRule="atLeast"/>
        </w:trPr>
        <w:tc>
          <w:tcPr>
            <w:tcW w:w="4355" w:type="dxa"/>
            <w:tcBorders>
              <w:bottom w:val="single" w:color="auto" w:sz="12" w:space="0"/>
            </w:tcBorders>
            <w:vAlign w:val="center"/>
          </w:tcPr>
          <w:p>
            <w:pPr>
              <w:snapToGrid w:val="0"/>
              <w:rPr>
                <w:rFonts w:ascii="宋体" w:hAnsi="宋体"/>
                <w:sz w:val="18"/>
                <w:szCs w:val="18"/>
              </w:rPr>
            </w:pPr>
            <w:r>
              <w:rPr>
                <w:rFonts w:hint="eastAsia" w:ascii="宋体" w:hAnsi="宋体" w:cs="宋体"/>
                <w:sz w:val="18"/>
                <w:szCs w:val="18"/>
              </w:rPr>
              <w:t>期末未分配利润</w:t>
            </w:r>
          </w:p>
        </w:tc>
        <w:tc>
          <w:tcPr>
            <w:tcW w:w="2429" w:type="dxa"/>
            <w:tcBorders>
              <w:bottom w:val="single" w:color="auto" w:sz="12" w:space="0"/>
            </w:tcBorders>
            <w:vAlign w:val="center"/>
          </w:tcPr>
          <w:p>
            <w:pPr>
              <w:widowControl/>
              <w:jc w:val="right"/>
              <w:textAlignment w:val="center"/>
              <w:rPr>
                <w:rFonts w:ascii="Arial" w:hAnsi="Arial" w:cs="Arial"/>
                <w:sz w:val="18"/>
                <w:szCs w:val="18"/>
              </w:rPr>
            </w:pPr>
            <w:r>
              <w:rPr>
                <w:rFonts w:ascii="Arial" w:hAnsi="Arial" w:cs="Arial"/>
                <w:color w:val="000000"/>
                <w:kern w:val="0"/>
                <w:sz w:val="18"/>
                <w:szCs w:val="18"/>
                <w:lang w:bidi="ar"/>
              </w:rPr>
              <w:t xml:space="preserve"> -1,455,115.18 </w:t>
            </w:r>
          </w:p>
        </w:tc>
        <w:tc>
          <w:tcPr>
            <w:tcW w:w="1936" w:type="dxa"/>
            <w:tcBorders>
              <w:bottom w:val="single" w:color="auto" w:sz="12" w:space="0"/>
            </w:tcBorders>
            <w:vAlign w:val="center"/>
          </w:tcPr>
          <w:p>
            <w:pPr>
              <w:snapToGrid w:val="0"/>
              <w:jc w:val="right"/>
              <w:rPr>
                <w:rFonts w:ascii="Arial Narrow" w:hAnsi="Arial Narrow" w:cs="Arial Narrow"/>
                <w:sz w:val="18"/>
                <w:szCs w:val="18"/>
              </w:rPr>
            </w:pPr>
          </w:p>
        </w:tc>
      </w:tr>
    </w:tbl>
    <w:p>
      <w:pPr>
        <w:pStyle w:val="15"/>
        <w:numPr>
          <w:ilvl w:val="0"/>
          <w:numId w:val="6"/>
        </w:numPr>
        <w:tabs>
          <w:tab w:val="left" w:pos="426"/>
          <w:tab w:val="left" w:pos="851"/>
          <w:tab w:val="left" w:pos="1134"/>
          <w:tab w:val="left" w:pos="1276"/>
        </w:tabs>
        <w:snapToGrid w:val="0"/>
        <w:spacing w:after="156" w:afterLines="50" w:line="460" w:lineRule="atLeast"/>
        <w:outlineLvl w:val="1"/>
        <w:rPr>
          <w:rFonts w:hAnsi="宋体" w:cs="Times New Roman"/>
          <w:bCs/>
          <w:snapToGrid w:val="0"/>
          <w:kern w:val="0"/>
        </w:rPr>
      </w:pPr>
      <w:r>
        <w:rPr>
          <w:rFonts w:hint="eastAsia" w:hAnsi="宋体" w:cs="Times New Roman"/>
          <w:bCs/>
          <w:snapToGrid w:val="0"/>
          <w:kern w:val="0"/>
        </w:rPr>
        <w:t>营业收入和营业成本</w:t>
      </w:r>
    </w:p>
    <w:tbl>
      <w:tblPr>
        <w:tblStyle w:val="31"/>
        <w:tblW w:w="8432" w:type="dxa"/>
        <w:jc w:val="center"/>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409"/>
        <w:gridCol w:w="1526"/>
        <w:gridCol w:w="1530"/>
        <w:gridCol w:w="1481"/>
        <w:gridCol w:w="1486"/>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blHeader/>
          <w:jc w:val="center"/>
        </w:trPr>
        <w:tc>
          <w:tcPr>
            <w:tcW w:w="2409" w:type="dxa"/>
            <w:vMerge w:val="restart"/>
            <w:tcBorders>
              <w:top w:val="single" w:color="auto" w:sz="12" w:space="0"/>
            </w:tcBorders>
            <w:vAlign w:val="center"/>
          </w:tcPr>
          <w:p>
            <w:pPr>
              <w:snapToGrid w:val="0"/>
              <w:jc w:val="center"/>
              <w:rPr>
                <w:rFonts w:ascii="宋体" w:hAnsi="宋体" w:cs="Arial Narrow"/>
                <w:snapToGrid w:val="0"/>
                <w:kern w:val="0"/>
                <w:sz w:val="18"/>
                <w:szCs w:val="18"/>
              </w:rPr>
            </w:pPr>
            <w:r>
              <w:rPr>
                <w:rFonts w:hint="eastAsia" w:ascii="宋体" w:hAnsi="宋体" w:cs="宋体"/>
                <w:snapToGrid w:val="0"/>
                <w:kern w:val="0"/>
                <w:sz w:val="18"/>
                <w:szCs w:val="18"/>
              </w:rPr>
              <w:t>项</w:t>
            </w:r>
            <w:r>
              <w:rPr>
                <w:rFonts w:ascii="宋体" w:hAnsi="宋体" w:cs="Arial Narrow"/>
                <w:snapToGrid w:val="0"/>
                <w:kern w:val="0"/>
                <w:sz w:val="18"/>
                <w:szCs w:val="18"/>
              </w:rPr>
              <w:t xml:space="preserve">    </w:t>
            </w:r>
            <w:r>
              <w:rPr>
                <w:rFonts w:hint="eastAsia" w:ascii="宋体" w:hAnsi="宋体" w:cs="宋体"/>
                <w:snapToGrid w:val="0"/>
                <w:kern w:val="0"/>
                <w:sz w:val="18"/>
                <w:szCs w:val="18"/>
              </w:rPr>
              <w:t>目</w:t>
            </w:r>
          </w:p>
        </w:tc>
        <w:tc>
          <w:tcPr>
            <w:tcW w:w="3056" w:type="dxa"/>
            <w:gridSpan w:val="2"/>
            <w:tcBorders>
              <w:top w:val="single" w:color="auto" w:sz="12" w:space="0"/>
              <w:bottom w:val="single" w:color="auto" w:sz="6" w:space="0"/>
            </w:tcBorders>
            <w:vAlign w:val="center"/>
          </w:tcPr>
          <w:p>
            <w:pPr>
              <w:snapToGrid w:val="0"/>
              <w:jc w:val="center"/>
              <w:rPr>
                <w:rFonts w:ascii="宋体" w:hAnsi="宋体" w:cs="宋体"/>
                <w:snapToGrid w:val="0"/>
                <w:kern w:val="0"/>
                <w:sz w:val="18"/>
                <w:szCs w:val="18"/>
              </w:rPr>
            </w:pPr>
            <w:r>
              <w:rPr>
                <w:rFonts w:hint="eastAsia" w:ascii="宋体" w:hAnsi="宋体" w:cs="宋体"/>
                <w:snapToGrid w:val="0"/>
                <w:kern w:val="0"/>
                <w:sz w:val="18"/>
                <w:szCs w:val="18"/>
              </w:rPr>
              <w:t>本期发生额</w:t>
            </w:r>
          </w:p>
        </w:tc>
        <w:tc>
          <w:tcPr>
            <w:tcW w:w="2967" w:type="dxa"/>
            <w:gridSpan w:val="2"/>
            <w:tcBorders>
              <w:top w:val="single" w:color="auto" w:sz="12" w:space="0"/>
              <w:bottom w:val="single" w:color="auto" w:sz="6" w:space="0"/>
            </w:tcBorders>
            <w:vAlign w:val="center"/>
          </w:tcPr>
          <w:p>
            <w:pPr>
              <w:snapToGrid w:val="0"/>
              <w:jc w:val="center"/>
              <w:rPr>
                <w:rFonts w:ascii="宋体" w:hAnsi="宋体" w:cs="宋体"/>
                <w:snapToGrid w:val="0"/>
                <w:kern w:val="0"/>
                <w:sz w:val="18"/>
                <w:szCs w:val="18"/>
              </w:rPr>
            </w:pPr>
            <w:r>
              <w:rPr>
                <w:rFonts w:hint="eastAsia" w:ascii="宋体" w:hAnsi="宋体" w:cs="宋体"/>
                <w:snapToGrid w:val="0"/>
                <w:kern w:val="0"/>
                <w:sz w:val="18"/>
                <w:szCs w:val="18"/>
              </w:rPr>
              <w:t>上期发生额</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blHeader/>
          <w:jc w:val="center"/>
        </w:trPr>
        <w:tc>
          <w:tcPr>
            <w:tcW w:w="2409" w:type="dxa"/>
            <w:vMerge w:val="continue"/>
            <w:vAlign w:val="center"/>
          </w:tcPr>
          <w:p>
            <w:pPr>
              <w:snapToGrid w:val="0"/>
              <w:jc w:val="center"/>
              <w:rPr>
                <w:rFonts w:ascii="宋体" w:hAnsi="宋体" w:cs="宋体"/>
                <w:snapToGrid w:val="0"/>
                <w:kern w:val="0"/>
                <w:sz w:val="18"/>
                <w:szCs w:val="18"/>
              </w:rPr>
            </w:pPr>
          </w:p>
        </w:tc>
        <w:tc>
          <w:tcPr>
            <w:tcW w:w="1526" w:type="dxa"/>
            <w:tcBorders>
              <w:top w:val="single" w:color="auto" w:sz="6" w:space="0"/>
              <w:right w:val="single" w:color="auto" w:sz="6" w:space="0"/>
            </w:tcBorders>
            <w:vAlign w:val="center"/>
          </w:tcPr>
          <w:p>
            <w:pPr>
              <w:snapToGrid w:val="0"/>
              <w:jc w:val="center"/>
              <w:rPr>
                <w:rFonts w:ascii="宋体" w:hAnsi="宋体" w:cs="宋体"/>
                <w:snapToGrid w:val="0"/>
                <w:kern w:val="0"/>
                <w:sz w:val="18"/>
                <w:szCs w:val="18"/>
              </w:rPr>
            </w:pPr>
            <w:r>
              <w:rPr>
                <w:rFonts w:hint="eastAsia" w:ascii="宋体" w:hAnsi="宋体" w:cs="宋体"/>
                <w:snapToGrid w:val="0"/>
                <w:kern w:val="0"/>
                <w:sz w:val="18"/>
                <w:szCs w:val="18"/>
              </w:rPr>
              <w:t>收入</w:t>
            </w:r>
          </w:p>
        </w:tc>
        <w:tc>
          <w:tcPr>
            <w:tcW w:w="1530" w:type="dxa"/>
            <w:tcBorders>
              <w:top w:val="single" w:color="auto" w:sz="6" w:space="0"/>
              <w:left w:val="single" w:color="auto" w:sz="6" w:space="0"/>
            </w:tcBorders>
            <w:vAlign w:val="center"/>
          </w:tcPr>
          <w:p>
            <w:pPr>
              <w:snapToGrid w:val="0"/>
              <w:jc w:val="center"/>
              <w:rPr>
                <w:rFonts w:ascii="宋体" w:hAnsi="宋体" w:cs="宋体"/>
                <w:snapToGrid w:val="0"/>
                <w:kern w:val="0"/>
                <w:sz w:val="18"/>
                <w:szCs w:val="18"/>
              </w:rPr>
            </w:pPr>
            <w:r>
              <w:rPr>
                <w:rFonts w:hint="eastAsia" w:ascii="宋体" w:hAnsi="宋体" w:cs="宋体"/>
                <w:snapToGrid w:val="0"/>
                <w:kern w:val="0"/>
                <w:sz w:val="18"/>
                <w:szCs w:val="18"/>
              </w:rPr>
              <w:t>成本</w:t>
            </w:r>
          </w:p>
        </w:tc>
        <w:tc>
          <w:tcPr>
            <w:tcW w:w="1481" w:type="dxa"/>
            <w:tcBorders>
              <w:top w:val="single" w:color="auto" w:sz="6" w:space="0"/>
              <w:right w:val="single" w:color="auto" w:sz="6" w:space="0"/>
            </w:tcBorders>
            <w:vAlign w:val="center"/>
          </w:tcPr>
          <w:p>
            <w:pPr>
              <w:snapToGrid w:val="0"/>
              <w:jc w:val="center"/>
              <w:rPr>
                <w:rFonts w:ascii="宋体" w:hAnsi="宋体" w:cs="宋体"/>
                <w:snapToGrid w:val="0"/>
                <w:kern w:val="0"/>
                <w:sz w:val="18"/>
                <w:szCs w:val="18"/>
              </w:rPr>
            </w:pPr>
            <w:r>
              <w:rPr>
                <w:rFonts w:hint="eastAsia" w:ascii="宋体" w:hAnsi="宋体" w:cs="宋体"/>
                <w:snapToGrid w:val="0"/>
                <w:kern w:val="0"/>
                <w:sz w:val="18"/>
                <w:szCs w:val="18"/>
              </w:rPr>
              <w:t>收入</w:t>
            </w:r>
          </w:p>
        </w:tc>
        <w:tc>
          <w:tcPr>
            <w:tcW w:w="1486" w:type="dxa"/>
            <w:tcBorders>
              <w:top w:val="single" w:color="auto" w:sz="6" w:space="0"/>
              <w:left w:val="single" w:color="auto" w:sz="6" w:space="0"/>
            </w:tcBorders>
            <w:vAlign w:val="center"/>
          </w:tcPr>
          <w:p>
            <w:pPr>
              <w:snapToGrid w:val="0"/>
              <w:jc w:val="center"/>
              <w:rPr>
                <w:rFonts w:ascii="宋体" w:hAnsi="宋体" w:cs="宋体"/>
                <w:snapToGrid w:val="0"/>
                <w:kern w:val="0"/>
                <w:sz w:val="18"/>
                <w:szCs w:val="18"/>
              </w:rPr>
            </w:pPr>
            <w:r>
              <w:rPr>
                <w:rFonts w:hint="eastAsia" w:ascii="宋体" w:hAnsi="宋体" w:cs="宋体"/>
                <w:snapToGrid w:val="0"/>
                <w:kern w:val="0"/>
                <w:sz w:val="18"/>
                <w:szCs w:val="18"/>
              </w:rPr>
              <w:t>成本</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409" w:type="dxa"/>
            <w:vAlign w:val="center"/>
          </w:tcPr>
          <w:p>
            <w:pPr>
              <w:widowControl/>
              <w:textAlignment w:val="center"/>
              <w:rPr>
                <w:rFonts w:ascii="宋体" w:hAnsi="宋体"/>
                <w:bCs/>
                <w:snapToGrid w:val="0"/>
                <w:kern w:val="0"/>
                <w:sz w:val="18"/>
                <w:szCs w:val="18"/>
              </w:rPr>
            </w:pPr>
            <w:r>
              <w:rPr>
                <w:rFonts w:hint="eastAsia" w:ascii="宋体" w:hAnsi="宋体" w:cs="宋体"/>
                <w:color w:val="000000"/>
                <w:kern w:val="0"/>
                <w:sz w:val="18"/>
                <w:szCs w:val="18"/>
                <w:lang w:bidi="ar"/>
              </w:rPr>
              <w:t>一、主营业务小计</w:t>
            </w:r>
          </w:p>
        </w:tc>
        <w:tc>
          <w:tcPr>
            <w:tcW w:w="1526" w:type="dxa"/>
            <w:tcBorders>
              <w:right w:val="single" w:color="auto" w:sz="6" w:space="0"/>
            </w:tcBorders>
            <w:vAlign w:val="center"/>
          </w:tcPr>
          <w:p>
            <w:pPr>
              <w:widowControl/>
              <w:jc w:val="right"/>
              <w:textAlignment w:val="center"/>
              <w:rPr>
                <w:rFonts w:ascii="Arial" w:hAnsi="Arial" w:cs="Arial"/>
                <w:color w:val="000000"/>
                <w:sz w:val="18"/>
                <w:szCs w:val="18"/>
              </w:rPr>
            </w:pPr>
            <w:r>
              <w:rPr>
                <w:rFonts w:ascii="Arial" w:hAnsi="Arial" w:cs="Arial"/>
                <w:color w:val="000000"/>
                <w:kern w:val="0"/>
                <w:sz w:val="18"/>
                <w:szCs w:val="18"/>
                <w:lang w:bidi="ar"/>
              </w:rPr>
              <w:t xml:space="preserve"> 2,029,479.13 </w:t>
            </w:r>
          </w:p>
        </w:tc>
        <w:tc>
          <w:tcPr>
            <w:tcW w:w="1530" w:type="dxa"/>
            <w:tcBorders>
              <w:left w:val="single" w:color="auto" w:sz="6" w:space="0"/>
            </w:tcBorders>
            <w:vAlign w:val="center"/>
          </w:tcPr>
          <w:p>
            <w:pPr>
              <w:widowControl/>
              <w:jc w:val="right"/>
              <w:textAlignment w:val="center"/>
              <w:rPr>
                <w:rFonts w:ascii="Arial" w:hAnsi="Arial" w:cs="Arial"/>
                <w:color w:val="000000"/>
                <w:sz w:val="18"/>
                <w:szCs w:val="18"/>
              </w:rPr>
            </w:pPr>
            <w:r>
              <w:rPr>
                <w:rFonts w:ascii="Arial" w:hAnsi="Arial" w:cs="Arial"/>
                <w:color w:val="000000"/>
                <w:kern w:val="0"/>
                <w:sz w:val="18"/>
                <w:szCs w:val="18"/>
                <w:lang w:bidi="ar"/>
              </w:rPr>
              <w:t xml:space="preserve"> 2,138,739.02 </w:t>
            </w:r>
          </w:p>
        </w:tc>
        <w:tc>
          <w:tcPr>
            <w:tcW w:w="1481" w:type="dxa"/>
            <w:tcBorders>
              <w:right w:val="single" w:color="auto" w:sz="6" w:space="0"/>
            </w:tcBorders>
            <w:vAlign w:val="center"/>
          </w:tcPr>
          <w:p>
            <w:pPr>
              <w:widowControl/>
              <w:jc w:val="right"/>
              <w:textAlignment w:val="center"/>
              <w:rPr>
                <w:rFonts w:ascii="Arial" w:hAnsi="Arial" w:cs="Arial"/>
                <w:color w:val="000000"/>
                <w:sz w:val="18"/>
                <w:szCs w:val="18"/>
              </w:rPr>
            </w:pPr>
            <w:r>
              <w:rPr>
                <w:rFonts w:ascii="Arial" w:hAnsi="Arial" w:cs="Arial"/>
                <w:color w:val="000000"/>
                <w:kern w:val="0"/>
                <w:sz w:val="18"/>
                <w:szCs w:val="18"/>
                <w:lang w:bidi="ar"/>
              </w:rPr>
              <w:t xml:space="preserve"> 8,262,930.36 </w:t>
            </w:r>
          </w:p>
        </w:tc>
        <w:tc>
          <w:tcPr>
            <w:tcW w:w="1486" w:type="dxa"/>
            <w:tcBorders>
              <w:left w:val="single" w:color="auto" w:sz="6" w:space="0"/>
            </w:tcBorders>
            <w:vAlign w:val="center"/>
          </w:tcPr>
          <w:p>
            <w:pPr>
              <w:widowControl/>
              <w:jc w:val="right"/>
              <w:textAlignment w:val="center"/>
              <w:rPr>
                <w:rFonts w:ascii="Arial" w:hAnsi="Arial" w:cs="Arial"/>
                <w:color w:val="000000"/>
                <w:sz w:val="18"/>
                <w:szCs w:val="18"/>
              </w:rPr>
            </w:pPr>
            <w:r>
              <w:rPr>
                <w:rFonts w:ascii="Arial" w:hAnsi="Arial" w:cs="Arial"/>
                <w:color w:val="000000"/>
                <w:kern w:val="0"/>
                <w:sz w:val="18"/>
                <w:szCs w:val="18"/>
                <w:lang w:bidi="ar"/>
              </w:rPr>
              <w:t xml:space="preserve"> 8,284,781.87 </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409" w:type="dxa"/>
            <w:tcBorders>
              <w:bottom w:val="single" w:color="auto" w:sz="12" w:space="0"/>
            </w:tcBorders>
            <w:vAlign w:val="center"/>
          </w:tcPr>
          <w:p>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合    计</w:t>
            </w:r>
          </w:p>
        </w:tc>
        <w:tc>
          <w:tcPr>
            <w:tcW w:w="1526" w:type="dxa"/>
            <w:tcBorders>
              <w:bottom w:val="single" w:color="auto" w:sz="12" w:space="0"/>
              <w:right w:val="single" w:color="auto" w:sz="6" w:space="0"/>
            </w:tcBorders>
            <w:vAlign w:val="center"/>
          </w:tcPr>
          <w:p>
            <w:pPr>
              <w:widowControl/>
              <w:jc w:val="right"/>
              <w:textAlignment w:val="center"/>
              <w:rPr>
                <w:rFonts w:ascii="Arial" w:hAnsi="Arial" w:cs="Arial"/>
                <w:color w:val="000000"/>
                <w:kern w:val="0"/>
                <w:sz w:val="18"/>
                <w:szCs w:val="18"/>
                <w:lang w:bidi="ar"/>
              </w:rPr>
            </w:pPr>
            <w:r>
              <w:rPr>
                <w:rFonts w:ascii="Arial" w:hAnsi="Arial" w:cs="Arial"/>
                <w:color w:val="000000"/>
                <w:kern w:val="0"/>
                <w:sz w:val="18"/>
                <w:szCs w:val="18"/>
                <w:lang w:bidi="ar"/>
              </w:rPr>
              <w:t xml:space="preserve"> 2,029,479.13 </w:t>
            </w:r>
          </w:p>
        </w:tc>
        <w:tc>
          <w:tcPr>
            <w:tcW w:w="1530" w:type="dxa"/>
            <w:tcBorders>
              <w:left w:val="single" w:color="auto" w:sz="6" w:space="0"/>
              <w:bottom w:val="single" w:color="auto" w:sz="12" w:space="0"/>
            </w:tcBorders>
            <w:vAlign w:val="center"/>
          </w:tcPr>
          <w:p>
            <w:pPr>
              <w:widowControl/>
              <w:jc w:val="right"/>
              <w:textAlignment w:val="center"/>
              <w:rPr>
                <w:rFonts w:ascii="Arial" w:hAnsi="Arial" w:cs="Arial"/>
                <w:color w:val="000000"/>
                <w:kern w:val="0"/>
                <w:sz w:val="18"/>
                <w:szCs w:val="18"/>
                <w:lang w:bidi="ar"/>
              </w:rPr>
            </w:pPr>
            <w:r>
              <w:rPr>
                <w:rFonts w:ascii="Arial" w:hAnsi="Arial" w:cs="Arial"/>
                <w:color w:val="000000"/>
                <w:kern w:val="0"/>
                <w:sz w:val="18"/>
                <w:szCs w:val="18"/>
                <w:lang w:bidi="ar"/>
              </w:rPr>
              <w:t xml:space="preserve"> 2,138,739.02 </w:t>
            </w:r>
          </w:p>
        </w:tc>
        <w:tc>
          <w:tcPr>
            <w:tcW w:w="1481" w:type="dxa"/>
            <w:tcBorders>
              <w:bottom w:val="single" w:color="auto" w:sz="12" w:space="0"/>
              <w:right w:val="single" w:color="auto" w:sz="6" w:space="0"/>
            </w:tcBorders>
            <w:vAlign w:val="center"/>
          </w:tcPr>
          <w:p>
            <w:pPr>
              <w:widowControl/>
              <w:jc w:val="right"/>
              <w:textAlignment w:val="center"/>
              <w:rPr>
                <w:rFonts w:ascii="Arial" w:hAnsi="Arial" w:cs="Arial"/>
                <w:color w:val="000000"/>
                <w:kern w:val="0"/>
                <w:sz w:val="18"/>
                <w:szCs w:val="18"/>
                <w:lang w:bidi="ar"/>
              </w:rPr>
            </w:pPr>
            <w:r>
              <w:rPr>
                <w:rFonts w:ascii="Arial" w:hAnsi="Arial" w:cs="Arial"/>
                <w:color w:val="000000"/>
                <w:kern w:val="0"/>
                <w:sz w:val="18"/>
                <w:szCs w:val="18"/>
                <w:lang w:bidi="ar"/>
              </w:rPr>
              <w:t xml:space="preserve"> 8,262,930.36 </w:t>
            </w:r>
          </w:p>
        </w:tc>
        <w:tc>
          <w:tcPr>
            <w:tcW w:w="1486" w:type="dxa"/>
            <w:tcBorders>
              <w:left w:val="single" w:color="auto" w:sz="6" w:space="0"/>
              <w:bottom w:val="single" w:color="auto" w:sz="12" w:space="0"/>
            </w:tcBorders>
            <w:vAlign w:val="center"/>
          </w:tcPr>
          <w:p>
            <w:pPr>
              <w:widowControl/>
              <w:jc w:val="right"/>
              <w:textAlignment w:val="center"/>
              <w:rPr>
                <w:rFonts w:ascii="Arial" w:hAnsi="Arial" w:cs="Arial"/>
                <w:color w:val="000000"/>
                <w:kern w:val="0"/>
                <w:sz w:val="18"/>
                <w:szCs w:val="18"/>
                <w:lang w:bidi="ar"/>
              </w:rPr>
            </w:pPr>
            <w:r>
              <w:rPr>
                <w:rFonts w:ascii="Arial" w:hAnsi="Arial" w:cs="Arial"/>
                <w:color w:val="000000"/>
                <w:kern w:val="0"/>
                <w:sz w:val="18"/>
                <w:szCs w:val="18"/>
                <w:lang w:bidi="ar"/>
              </w:rPr>
              <w:t xml:space="preserve"> 8,284,781.87 </w:t>
            </w:r>
          </w:p>
        </w:tc>
      </w:tr>
    </w:tbl>
    <w:p>
      <w:pPr>
        <w:pStyle w:val="15"/>
        <w:numPr>
          <w:ilvl w:val="0"/>
          <w:numId w:val="6"/>
        </w:numPr>
        <w:tabs>
          <w:tab w:val="left" w:pos="426"/>
          <w:tab w:val="left" w:pos="851"/>
          <w:tab w:val="left" w:pos="1134"/>
          <w:tab w:val="left" w:pos="1276"/>
        </w:tabs>
        <w:snapToGrid w:val="0"/>
        <w:spacing w:after="156" w:afterLines="50" w:line="460" w:lineRule="atLeast"/>
        <w:outlineLvl w:val="1"/>
        <w:rPr>
          <w:rFonts w:hAnsi="宋体" w:cs="Times New Roman"/>
          <w:bCs/>
          <w:snapToGrid w:val="0"/>
          <w:kern w:val="0"/>
        </w:rPr>
      </w:pPr>
      <w:r>
        <w:t>税金及附加</w:t>
      </w:r>
    </w:p>
    <w:tbl>
      <w:tblPr>
        <w:tblStyle w:val="31"/>
        <w:tblW w:w="8652" w:type="dxa"/>
        <w:tblInd w:w="103"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3974"/>
        <w:gridCol w:w="2410"/>
        <w:gridCol w:w="2268"/>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55" w:hRule="atLeast"/>
          <w:tblHeader/>
        </w:trPr>
        <w:tc>
          <w:tcPr>
            <w:tcW w:w="3974" w:type="dxa"/>
            <w:tcBorders>
              <w:top w:val="single" w:color="auto" w:sz="12" w:space="0"/>
            </w:tcBorders>
            <w:vAlign w:val="center"/>
          </w:tcPr>
          <w:p>
            <w:pPr>
              <w:widowControl/>
              <w:jc w:val="center"/>
              <w:rPr>
                <w:rFonts w:ascii="宋体" w:hAnsi="宋体" w:cs="宋体"/>
                <w:snapToGrid w:val="0"/>
                <w:kern w:val="0"/>
                <w:sz w:val="20"/>
                <w:szCs w:val="20"/>
              </w:rPr>
            </w:pPr>
            <w:r>
              <w:rPr>
                <w:rFonts w:hint="eastAsia" w:ascii="宋体" w:hAnsi="宋体" w:cs="宋体"/>
                <w:snapToGrid w:val="0"/>
                <w:kern w:val="0"/>
                <w:sz w:val="20"/>
                <w:szCs w:val="20"/>
              </w:rPr>
              <w:t>项</w:t>
            </w:r>
            <w:r>
              <w:rPr>
                <w:rFonts w:ascii="宋体" w:hAnsi="宋体" w:cs="宋体"/>
                <w:snapToGrid w:val="0"/>
                <w:kern w:val="0"/>
                <w:sz w:val="20"/>
                <w:szCs w:val="20"/>
              </w:rPr>
              <w:t xml:space="preserve">    </w:t>
            </w:r>
            <w:r>
              <w:rPr>
                <w:rFonts w:hint="eastAsia" w:ascii="宋体" w:hAnsi="宋体" w:cs="宋体"/>
                <w:snapToGrid w:val="0"/>
                <w:kern w:val="0"/>
                <w:sz w:val="20"/>
                <w:szCs w:val="20"/>
              </w:rPr>
              <w:t>目</w:t>
            </w:r>
          </w:p>
        </w:tc>
        <w:tc>
          <w:tcPr>
            <w:tcW w:w="2410" w:type="dxa"/>
            <w:tcBorders>
              <w:top w:val="single" w:color="auto" w:sz="12" w:space="0"/>
            </w:tcBorders>
            <w:vAlign w:val="center"/>
          </w:tcPr>
          <w:p>
            <w:pPr>
              <w:snapToGrid w:val="0"/>
              <w:jc w:val="center"/>
              <w:rPr>
                <w:rFonts w:ascii="宋体" w:hAnsi="宋体" w:cs="宋体"/>
                <w:snapToGrid w:val="0"/>
                <w:kern w:val="0"/>
                <w:sz w:val="18"/>
                <w:szCs w:val="18"/>
              </w:rPr>
            </w:pPr>
            <w:r>
              <w:rPr>
                <w:rFonts w:hint="eastAsia" w:ascii="宋体" w:hAnsi="宋体" w:cs="宋体"/>
                <w:snapToGrid w:val="0"/>
                <w:kern w:val="0"/>
                <w:sz w:val="18"/>
                <w:szCs w:val="18"/>
              </w:rPr>
              <w:t>本期发生额</w:t>
            </w:r>
          </w:p>
        </w:tc>
        <w:tc>
          <w:tcPr>
            <w:tcW w:w="2268" w:type="dxa"/>
            <w:tcBorders>
              <w:top w:val="single" w:color="auto" w:sz="12" w:space="0"/>
            </w:tcBorders>
            <w:vAlign w:val="center"/>
          </w:tcPr>
          <w:p>
            <w:pPr>
              <w:snapToGrid w:val="0"/>
              <w:jc w:val="center"/>
              <w:rPr>
                <w:rFonts w:ascii="宋体" w:hAnsi="宋体" w:cs="宋体"/>
                <w:snapToGrid w:val="0"/>
                <w:kern w:val="0"/>
                <w:sz w:val="18"/>
                <w:szCs w:val="18"/>
              </w:rPr>
            </w:pPr>
            <w:r>
              <w:rPr>
                <w:rFonts w:hint="eastAsia" w:ascii="宋体" w:hAnsi="宋体" w:cs="宋体"/>
                <w:snapToGrid w:val="0"/>
                <w:kern w:val="0"/>
                <w:sz w:val="18"/>
                <w:szCs w:val="18"/>
              </w:rPr>
              <w:t>上期发生额</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55" w:hRule="atLeast"/>
        </w:trPr>
        <w:tc>
          <w:tcPr>
            <w:tcW w:w="3974" w:type="dxa"/>
            <w:vAlign w:val="center"/>
          </w:tcPr>
          <w:p>
            <w:pPr>
              <w:widowControl/>
              <w:jc w:val="left"/>
              <w:textAlignment w:val="center"/>
              <w:rPr>
                <w:rFonts w:ascii="Arial" w:hAnsi="Arial" w:cs="Arial"/>
                <w:sz w:val="18"/>
                <w:szCs w:val="18"/>
              </w:rPr>
            </w:pPr>
            <w:r>
              <w:rPr>
                <w:rFonts w:ascii="Arial" w:hAnsi="Arial" w:cs="Arial"/>
                <w:color w:val="000000"/>
                <w:kern w:val="0"/>
                <w:sz w:val="18"/>
                <w:szCs w:val="18"/>
                <w:lang w:bidi="ar"/>
              </w:rPr>
              <w:t>城市维护建设税</w:t>
            </w:r>
          </w:p>
        </w:tc>
        <w:tc>
          <w:tcPr>
            <w:tcW w:w="2410" w:type="dxa"/>
            <w:vAlign w:val="center"/>
          </w:tcPr>
          <w:p>
            <w:pPr>
              <w:widowControl/>
              <w:jc w:val="right"/>
              <w:textAlignment w:val="center"/>
              <w:rPr>
                <w:rFonts w:ascii="Arial" w:hAnsi="Arial" w:cs="Arial"/>
                <w:snapToGrid w:val="0"/>
                <w:kern w:val="0"/>
                <w:sz w:val="18"/>
                <w:szCs w:val="18"/>
              </w:rPr>
            </w:pPr>
            <w:r>
              <w:rPr>
                <w:rFonts w:ascii="Arial" w:hAnsi="Arial" w:eastAsia="Arial Narrow" w:cs="Arial"/>
                <w:color w:val="000000"/>
                <w:kern w:val="0"/>
                <w:sz w:val="18"/>
                <w:szCs w:val="18"/>
                <w:lang w:bidi="ar"/>
              </w:rPr>
              <w:t xml:space="preserve">2,579.20 </w:t>
            </w:r>
          </w:p>
        </w:tc>
        <w:tc>
          <w:tcPr>
            <w:tcW w:w="2268" w:type="dxa"/>
            <w:vAlign w:val="center"/>
          </w:tcPr>
          <w:p>
            <w:pPr>
              <w:jc w:val="right"/>
              <w:rPr>
                <w:rFonts w:ascii="Arial" w:hAnsi="Arial" w:cs="Arial"/>
                <w:snapToGrid w:val="0"/>
                <w:kern w:val="0"/>
                <w:sz w:val="18"/>
                <w:szCs w:val="18"/>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55" w:hRule="atLeast"/>
        </w:trPr>
        <w:tc>
          <w:tcPr>
            <w:tcW w:w="3974" w:type="dxa"/>
            <w:vAlign w:val="center"/>
          </w:tcPr>
          <w:p>
            <w:pPr>
              <w:widowControl/>
              <w:jc w:val="left"/>
              <w:textAlignment w:val="center"/>
              <w:rPr>
                <w:rFonts w:ascii="Arial" w:hAnsi="Arial" w:cs="Arial"/>
                <w:sz w:val="18"/>
                <w:szCs w:val="18"/>
              </w:rPr>
            </w:pPr>
            <w:r>
              <w:rPr>
                <w:rFonts w:ascii="Arial" w:hAnsi="Arial" w:cs="Arial"/>
                <w:color w:val="000000"/>
                <w:kern w:val="0"/>
                <w:sz w:val="18"/>
                <w:szCs w:val="18"/>
                <w:lang w:bidi="ar"/>
              </w:rPr>
              <w:t>教育费附加</w:t>
            </w:r>
          </w:p>
        </w:tc>
        <w:tc>
          <w:tcPr>
            <w:tcW w:w="2410" w:type="dxa"/>
            <w:vAlign w:val="center"/>
          </w:tcPr>
          <w:p>
            <w:pPr>
              <w:widowControl/>
              <w:jc w:val="right"/>
              <w:textAlignment w:val="center"/>
              <w:rPr>
                <w:rFonts w:ascii="Arial" w:hAnsi="Arial" w:cs="Arial"/>
                <w:color w:val="000000"/>
                <w:sz w:val="18"/>
                <w:szCs w:val="18"/>
              </w:rPr>
            </w:pPr>
            <w:r>
              <w:rPr>
                <w:rFonts w:ascii="Arial" w:hAnsi="Arial" w:eastAsia="Arial Narrow" w:cs="Arial"/>
                <w:color w:val="000000"/>
                <w:kern w:val="0"/>
                <w:sz w:val="18"/>
                <w:szCs w:val="18"/>
                <w:lang w:bidi="ar"/>
              </w:rPr>
              <w:t xml:space="preserve">1105.37 </w:t>
            </w:r>
          </w:p>
        </w:tc>
        <w:tc>
          <w:tcPr>
            <w:tcW w:w="2268" w:type="dxa"/>
            <w:vAlign w:val="center"/>
          </w:tcPr>
          <w:p>
            <w:pPr>
              <w:jc w:val="right"/>
              <w:rPr>
                <w:rFonts w:ascii="Arial" w:hAnsi="Arial" w:cs="Arial"/>
                <w:color w:val="000000"/>
                <w:sz w:val="18"/>
                <w:szCs w:val="18"/>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55" w:hRule="atLeast"/>
        </w:trPr>
        <w:tc>
          <w:tcPr>
            <w:tcW w:w="3974" w:type="dxa"/>
            <w:vAlign w:val="center"/>
          </w:tcPr>
          <w:p>
            <w:pPr>
              <w:widowControl/>
              <w:jc w:val="left"/>
              <w:textAlignment w:val="center"/>
              <w:rPr>
                <w:rFonts w:hint="eastAsia" w:ascii="Arial" w:hAnsi="Arial" w:cs="Arial"/>
                <w:color w:val="000000"/>
                <w:kern w:val="0"/>
                <w:sz w:val="18"/>
                <w:szCs w:val="18"/>
                <w:lang w:bidi="ar"/>
              </w:rPr>
            </w:pPr>
            <w:r>
              <w:rPr>
                <w:rFonts w:hint="eastAsia" w:ascii="Arial" w:hAnsi="Arial" w:cs="Arial"/>
                <w:color w:val="000000"/>
                <w:kern w:val="0"/>
                <w:sz w:val="18"/>
                <w:szCs w:val="18"/>
                <w:lang w:bidi="ar"/>
              </w:rPr>
              <w:t>地方</w:t>
            </w:r>
            <w:r>
              <w:rPr>
                <w:rFonts w:ascii="Arial" w:hAnsi="Arial" w:cs="Arial"/>
                <w:color w:val="000000"/>
                <w:kern w:val="0"/>
                <w:sz w:val="18"/>
                <w:szCs w:val="18"/>
                <w:lang w:bidi="ar"/>
              </w:rPr>
              <w:t>教育费附加</w:t>
            </w:r>
          </w:p>
        </w:tc>
        <w:tc>
          <w:tcPr>
            <w:tcW w:w="2410" w:type="dxa"/>
            <w:vAlign w:val="center"/>
          </w:tcPr>
          <w:p>
            <w:pPr>
              <w:widowControl/>
              <w:jc w:val="right"/>
              <w:textAlignment w:val="center"/>
              <w:rPr>
                <w:rFonts w:ascii="Arial" w:hAnsi="Arial" w:eastAsia="Arial Narrow" w:cs="Arial"/>
                <w:color w:val="000000"/>
                <w:kern w:val="0"/>
                <w:sz w:val="18"/>
                <w:szCs w:val="18"/>
                <w:lang w:bidi="ar"/>
              </w:rPr>
            </w:pPr>
            <w:r>
              <w:rPr>
                <w:rFonts w:ascii="Arial" w:hAnsi="Arial" w:eastAsia="Arial Narrow" w:cs="Arial"/>
                <w:color w:val="000000"/>
                <w:kern w:val="0"/>
                <w:sz w:val="18"/>
                <w:szCs w:val="18"/>
                <w:lang w:bidi="ar"/>
              </w:rPr>
              <w:t>736.91</w:t>
            </w:r>
          </w:p>
        </w:tc>
        <w:tc>
          <w:tcPr>
            <w:tcW w:w="2268" w:type="dxa"/>
            <w:vAlign w:val="center"/>
          </w:tcPr>
          <w:p>
            <w:pPr>
              <w:jc w:val="right"/>
              <w:rPr>
                <w:rFonts w:ascii="Arial" w:hAnsi="Arial" w:cs="Arial"/>
                <w:sz w:val="18"/>
                <w:szCs w:val="18"/>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55" w:hRule="atLeast"/>
        </w:trPr>
        <w:tc>
          <w:tcPr>
            <w:tcW w:w="3974" w:type="dxa"/>
            <w:vAlign w:val="center"/>
          </w:tcPr>
          <w:p>
            <w:pPr>
              <w:widowControl/>
              <w:jc w:val="left"/>
              <w:textAlignment w:val="center"/>
              <w:rPr>
                <w:rFonts w:ascii="Arial" w:hAnsi="Arial" w:cs="Arial"/>
                <w:sz w:val="18"/>
                <w:szCs w:val="18"/>
              </w:rPr>
            </w:pPr>
            <w:r>
              <w:rPr>
                <w:rFonts w:ascii="Arial" w:hAnsi="Arial" w:cs="Arial"/>
                <w:color w:val="000000"/>
                <w:kern w:val="0"/>
                <w:sz w:val="18"/>
                <w:szCs w:val="18"/>
                <w:lang w:bidi="ar"/>
              </w:rPr>
              <w:t>印花税</w:t>
            </w:r>
          </w:p>
        </w:tc>
        <w:tc>
          <w:tcPr>
            <w:tcW w:w="2410" w:type="dxa"/>
            <w:vAlign w:val="center"/>
          </w:tcPr>
          <w:p>
            <w:pPr>
              <w:widowControl/>
              <w:jc w:val="right"/>
              <w:textAlignment w:val="center"/>
              <w:rPr>
                <w:rFonts w:ascii="Arial" w:hAnsi="Arial" w:cs="Arial"/>
                <w:color w:val="000000"/>
                <w:sz w:val="18"/>
                <w:szCs w:val="18"/>
              </w:rPr>
            </w:pPr>
            <w:r>
              <w:rPr>
                <w:rFonts w:ascii="Arial" w:hAnsi="Arial" w:eastAsia="Arial Narrow" w:cs="Arial"/>
                <w:color w:val="000000"/>
                <w:kern w:val="0"/>
                <w:sz w:val="18"/>
                <w:szCs w:val="18"/>
                <w:lang w:bidi="ar"/>
              </w:rPr>
              <w:t xml:space="preserve">720.70 </w:t>
            </w:r>
          </w:p>
        </w:tc>
        <w:tc>
          <w:tcPr>
            <w:tcW w:w="2268" w:type="dxa"/>
            <w:vAlign w:val="center"/>
          </w:tcPr>
          <w:p>
            <w:pPr>
              <w:jc w:val="right"/>
              <w:rPr>
                <w:rFonts w:ascii="Arial" w:hAnsi="Arial" w:cs="Arial"/>
                <w:sz w:val="18"/>
                <w:szCs w:val="18"/>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55" w:hRule="atLeast"/>
        </w:trPr>
        <w:tc>
          <w:tcPr>
            <w:tcW w:w="3974" w:type="dxa"/>
            <w:vAlign w:val="center"/>
          </w:tcPr>
          <w:p>
            <w:pPr>
              <w:widowControl/>
              <w:jc w:val="left"/>
              <w:textAlignment w:val="center"/>
              <w:rPr>
                <w:rFonts w:ascii="Arial" w:hAnsi="Arial" w:cs="Arial"/>
                <w:sz w:val="18"/>
                <w:szCs w:val="18"/>
              </w:rPr>
            </w:pPr>
            <w:r>
              <w:rPr>
                <w:rFonts w:ascii="Arial" w:hAnsi="Arial" w:cs="Arial"/>
                <w:color w:val="000000"/>
                <w:kern w:val="0"/>
                <w:sz w:val="18"/>
                <w:szCs w:val="18"/>
                <w:lang w:bidi="ar"/>
              </w:rPr>
              <w:t>残疾人保障金</w:t>
            </w:r>
          </w:p>
        </w:tc>
        <w:tc>
          <w:tcPr>
            <w:tcW w:w="2410" w:type="dxa"/>
            <w:vAlign w:val="center"/>
          </w:tcPr>
          <w:p>
            <w:pPr>
              <w:widowControl/>
              <w:jc w:val="right"/>
              <w:textAlignment w:val="center"/>
              <w:rPr>
                <w:rFonts w:ascii="Arial" w:hAnsi="Arial" w:cs="Arial"/>
                <w:color w:val="000000"/>
                <w:sz w:val="18"/>
                <w:szCs w:val="18"/>
              </w:rPr>
            </w:pPr>
            <w:r>
              <w:rPr>
                <w:rFonts w:ascii="Arial" w:hAnsi="Arial" w:eastAsia="Arial Narrow" w:cs="Arial"/>
                <w:color w:val="000000"/>
                <w:kern w:val="0"/>
                <w:sz w:val="18"/>
                <w:szCs w:val="18"/>
                <w:lang w:bidi="ar"/>
              </w:rPr>
              <w:t xml:space="preserve">507.20 </w:t>
            </w:r>
          </w:p>
        </w:tc>
        <w:tc>
          <w:tcPr>
            <w:tcW w:w="2268" w:type="dxa"/>
            <w:vAlign w:val="center"/>
          </w:tcPr>
          <w:p>
            <w:pPr>
              <w:jc w:val="right"/>
              <w:rPr>
                <w:rFonts w:ascii="Arial" w:hAnsi="Arial" w:cs="Arial"/>
                <w:sz w:val="18"/>
                <w:szCs w:val="18"/>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55" w:hRule="atLeast"/>
        </w:trPr>
        <w:tc>
          <w:tcPr>
            <w:tcW w:w="3974" w:type="dxa"/>
            <w:tcBorders>
              <w:bottom w:val="single" w:color="auto" w:sz="12" w:space="0"/>
            </w:tcBorders>
            <w:vAlign w:val="center"/>
          </w:tcPr>
          <w:p>
            <w:pPr>
              <w:widowControl/>
              <w:jc w:val="center"/>
              <w:textAlignment w:val="center"/>
              <w:rPr>
                <w:rFonts w:ascii="Arial" w:hAnsi="Arial" w:cs="Arial"/>
                <w:snapToGrid w:val="0"/>
                <w:kern w:val="0"/>
                <w:sz w:val="18"/>
                <w:szCs w:val="18"/>
              </w:rPr>
            </w:pPr>
            <w:r>
              <w:rPr>
                <w:rFonts w:ascii="Arial" w:hAnsi="Arial" w:cs="Arial"/>
                <w:color w:val="000000"/>
                <w:kern w:val="0"/>
                <w:sz w:val="18"/>
                <w:szCs w:val="18"/>
                <w:lang w:bidi="ar"/>
              </w:rPr>
              <w:t>合    计</w:t>
            </w:r>
          </w:p>
        </w:tc>
        <w:tc>
          <w:tcPr>
            <w:tcW w:w="2410" w:type="dxa"/>
            <w:tcBorders>
              <w:bottom w:val="single" w:color="auto" w:sz="12" w:space="0"/>
            </w:tcBorders>
            <w:vAlign w:val="center"/>
          </w:tcPr>
          <w:p>
            <w:pPr>
              <w:widowControl/>
              <w:jc w:val="right"/>
              <w:textAlignment w:val="center"/>
              <w:rPr>
                <w:rFonts w:ascii="Arial" w:hAnsi="Arial" w:cs="Arial"/>
                <w:color w:val="000000"/>
                <w:sz w:val="18"/>
                <w:szCs w:val="18"/>
              </w:rPr>
            </w:pPr>
            <w:r>
              <w:rPr>
                <w:rFonts w:ascii="Arial" w:hAnsi="Arial" w:cs="Arial"/>
                <w:color w:val="000000"/>
                <w:kern w:val="0"/>
                <w:sz w:val="18"/>
                <w:szCs w:val="18"/>
                <w:lang w:bidi="ar"/>
              </w:rPr>
              <w:t xml:space="preserve"> 5,649.38 </w:t>
            </w:r>
          </w:p>
        </w:tc>
        <w:tc>
          <w:tcPr>
            <w:tcW w:w="2268" w:type="dxa"/>
            <w:tcBorders>
              <w:bottom w:val="single" w:color="auto" w:sz="12" w:space="0"/>
            </w:tcBorders>
            <w:vAlign w:val="center"/>
          </w:tcPr>
          <w:p>
            <w:pPr>
              <w:widowControl/>
              <w:jc w:val="right"/>
              <w:textAlignment w:val="center"/>
              <w:rPr>
                <w:rFonts w:ascii="Arial" w:hAnsi="Arial" w:cs="Arial"/>
                <w:snapToGrid w:val="0"/>
                <w:kern w:val="0"/>
                <w:sz w:val="18"/>
                <w:szCs w:val="18"/>
              </w:rPr>
            </w:pPr>
            <w:r>
              <w:rPr>
                <w:rFonts w:ascii="Arial" w:hAnsi="Arial" w:cs="Arial"/>
                <w:color w:val="000000"/>
                <w:kern w:val="0"/>
                <w:sz w:val="18"/>
                <w:szCs w:val="18"/>
                <w:lang w:bidi="ar"/>
              </w:rPr>
              <w:t xml:space="preserve"> -   </w:t>
            </w:r>
          </w:p>
        </w:tc>
      </w:tr>
    </w:tbl>
    <w:p>
      <w:pPr>
        <w:pStyle w:val="15"/>
        <w:numPr>
          <w:ilvl w:val="0"/>
          <w:numId w:val="6"/>
        </w:numPr>
        <w:tabs>
          <w:tab w:val="left" w:pos="426"/>
          <w:tab w:val="left" w:pos="851"/>
          <w:tab w:val="left" w:pos="1134"/>
          <w:tab w:val="left" w:pos="1276"/>
        </w:tabs>
        <w:snapToGrid w:val="0"/>
        <w:spacing w:after="156" w:afterLines="50" w:line="460" w:lineRule="atLeast"/>
        <w:outlineLvl w:val="1"/>
        <w:rPr>
          <w:rFonts w:hAnsi="宋体" w:cs="Times New Roman"/>
          <w:bCs/>
          <w:snapToGrid w:val="0"/>
          <w:kern w:val="0"/>
        </w:rPr>
      </w:pPr>
      <w:r>
        <w:rPr>
          <w:rFonts w:hint="eastAsia" w:hAnsi="宋体" w:cs="Times New Roman"/>
          <w:bCs/>
          <w:snapToGrid w:val="0"/>
          <w:kern w:val="0"/>
        </w:rPr>
        <w:t>资产减值损失</w:t>
      </w:r>
    </w:p>
    <w:tbl>
      <w:tblPr>
        <w:tblStyle w:val="31"/>
        <w:tblW w:w="8720" w:type="dxa"/>
        <w:jc w:val="center"/>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3528"/>
        <w:gridCol w:w="2597"/>
        <w:gridCol w:w="2595"/>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blHeader/>
          <w:jc w:val="center"/>
        </w:trPr>
        <w:tc>
          <w:tcPr>
            <w:tcW w:w="3528" w:type="dxa"/>
            <w:tcBorders>
              <w:top w:val="single" w:color="auto" w:sz="12" w:space="0"/>
            </w:tcBorders>
            <w:vAlign w:val="center"/>
          </w:tcPr>
          <w:p>
            <w:pPr>
              <w:snapToGrid w:val="0"/>
              <w:jc w:val="center"/>
              <w:rPr>
                <w:rFonts w:ascii="宋体" w:hAnsi="宋体"/>
                <w:sz w:val="18"/>
                <w:szCs w:val="18"/>
              </w:rPr>
            </w:pPr>
            <w:r>
              <w:rPr>
                <w:rFonts w:hint="eastAsia" w:ascii="宋体" w:hAnsi="宋体" w:cs="宋体"/>
                <w:sz w:val="18"/>
                <w:szCs w:val="18"/>
              </w:rPr>
              <w:t>项</w:t>
            </w:r>
            <w:r>
              <w:rPr>
                <w:rFonts w:ascii="宋体" w:hAnsi="宋体" w:cs="宋体"/>
                <w:sz w:val="18"/>
                <w:szCs w:val="18"/>
              </w:rPr>
              <w:t xml:space="preserve">   </w:t>
            </w:r>
            <w:r>
              <w:rPr>
                <w:rFonts w:hint="eastAsia" w:ascii="宋体" w:hAnsi="宋体" w:cs="宋体"/>
                <w:sz w:val="18"/>
                <w:szCs w:val="18"/>
              </w:rPr>
              <w:t>目</w:t>
            </w:r>
          </w:p>
        </w:tc>
        <w:tc>
          <w:tcPr>
            <w:tcW w:w="2597" w:type="dxa"/>
            <w:tcBorders>
              <w:top w:val="single" w:color="auto" w:sz="12" w:space="0"/>
            </w:tcBorders>
            <w:vAlign w:val="center"/>
          </w:tcPr>
          <w:p>
            <w:pPr>
              <w:pStyle w:val="57"/>
              <w:adjustRightInd/>
              <w:spacing w:line="240" w:lineRule="auto"/>
              <w:ind w:firstLine="0" w:firstLineChars="0"/>
              <w:jc w:val="center"/>
              <w:rPr>
                <w:rFonts w:ascii="宋体" w:eastAsia="宋体" w:cs="Times New Roman"/>
                <w:sz w:val="18"/>
                <w:szCs w:val="18"/>
              </w:rPr>
            </w:pPr>
            <w:r>
              <w:rPr>
                <w:rFonts w:hint="eastAsia" w:ascii="宋体" w:eastAsia="宋体" w:cs="宋体"/>
                <w:sz w:val="18"/>
                <w:szCs w:val="18"/>
              </w:rPr>
              <w:t>本期发生额</w:t>
            </w:r>
          </w:p>
        </w:tc>
        <w:tc>
          <w:tcPr>
            <w:tcW w:w="2595" w:type="dxa"/>
            <w:tcBorders>
              <w:top w:val="single" w:color="auto" w:sz="12" w:space="0"/>
            </w:tcBorders>
            <w:vAlign w:val="center"/>
          </w:tcPr>
          <w:p>
            <w:pPr>
              <w:pStyle w:val="57"/>
              <w:adjustRightInd/>
              <w:spacing w:line="240" w:lineRule="auto"/>
              <w:ind w:firstLine="0" w:firstLineChars="0"/>
              <w:jc w:val="center"/>
              <w:rPr>
                <w:rFonts w:ascii="宋体" w:eastAsia="宋体" w:cs="Times New Roman"/>
                <w:sz w:val="18"/>
                <w:szCs w:val="18"/>
              </w:rPr>
            </w:pPr>
            <w:r>
              <w:rPr>
                <w:rFonts w:hint="eastAsia" w:ascii="宋体" w:eastAsia="宋体" w:cs="宋体"/>
                <w:sz w:val="18"/>
                <w:szCs w:val="18"/>
              </w:rPr>
              <w:t>上期发生额</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3528" w:type="dxa"/>
            <w:vAlign w:val="center"/>
          </w:tcPr>
          <w:p>
            <w:pPr>
              <w:tabs>
                <w:tab w:val="right" w:pos="7740"/>
              </w:tabs>
              <w:snapToGrid w:val="0"/>
              <w:rPr>
                <w:rFonts w:ascii="宋体" w:hAnsi="宋体"/>
                <w:sz w:val="18"/>
                <w:szCs w:val="18"/>
              </w:rPr>
            </w:pPr>
            <w:r>
              <w:rPr>
                <w:rFonts w:hint="eastAsia" w:ascii="宋体" w:hAnsi="宋体" w:cs="宋体"/>
                <w:sz w:val="18"/>
                <w:szCs w:val="18"/>
              </w:rPr>
              <w:t>坏账损失</w:t>
            </w:r>
          </w:p>
        </w:tc>
        <w:tc>
          <w:tcPr>
            <w:tcW w:w="2597" w:type="dxa"/>
            <w:vAlign w:val="center"/>
          </w:tcPr>
          <w:p>
            <w:pPr>
              <w:widowControl/>
              <w:jc w:val="right"/>
              <w:textAlignment w:val="center"/>
              <w:rPr>
                <w:rFonts w:ascii="Arial Narrow" w:hAnsi="Arial Narrow"/>
                <w:sz w:val="18"/>
                <w:szCs w:val="18"/>
              </w:rPr>
            </w:pPr>
            <w:r>
              <w:rPr>
                <w:rFonts w:ascii="Arial" w:hAnsi="Arial" w:cs="Arial"/>
                <w:color w:val="000000"/>
                <w:kern w:val="0"/>
                <w:sz w:val="18"/>
                <w:szCs w:val="18"/>
                <w:lang w:bidi="ar"/>
              </w:rPr>
              <w:t xml:space="preserve"> 14.81 </w:t>
            </w:r>
          </w:p>
        </w:tc>
        <w:tc>
          <w:tcPr>
            <w:tcW w:w="2595" w:type="dxa"/>
            <w:vAlign w:val="center"/>
          </w:tcPr>
          <w:p>
            <w:pPr>
              <w:widowControl/>
              <w:jc w:val="right"/>
              <w:textAlignment w:val="center"/>
              <w:rPr>
                <w:rFonts w:ascii="Arial Narrow" w:hAnsi="Arial Narrow"/>
                <w:sz w:val="18"/>
                <w:szCs w:val="18"/>
              </w:rPr>
            </w:pPr>
            <w:r>
              <w:rPr>
                <w:rFonts w:ascii="Arial" w:hAnsi="Arial" w:cs="Arial"/>
                <w:color w:val="000000"/>
                <w:kern w:val="0"/>
                <w:sz w:val="18"/>
                <w:szCs w:val="18"/>
                <w:lang w:bidi="ar"/>
              </w:rPr>
              <w:t xml:space="preserve"> -833.56 </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3528" w:type="dxa"/>
            <w:tcBorders>
              <w:bottom w:val="single" w:color="auto" w:sz="12" w:space="0"/>
            </w:tcBorders>
            <w:vAlign w:val="center"/>
          </w:tcPr>
          <w:p>
            <w:pPr>
              <w:snapToGrid w:val="0"/>
              <w:jc w:val="center"/>
              <w:rPr>
                <w:rFonts w:ascii="宋体" w:hAnsi="宋体"/>
                <w:sz w:val="18"/>
                <w:szCs w:val="18"/>
              </w:rPr>
            </w:pPr>
            <w:r>
              <w:rPr>
                <w:rFonts w:hint="eastAsia" w:ascii="宋体" w:hAnsi="宋体" w:cs="宋体"/>
                <w:sz w:val="18"/>
                <w:szCs w:val="18"/>
              </w:rPr>
              <w:t>合</w:t>
            </w:r>
            <w:r>
              <w:rPr>
                <w:rFonts w:ascii="宋体" w:hAnsi="宋体" w:cs="宋体"/>
                <w:sz w:val="18"/>
                <w:szCs w:val="18"/>
              </w:rPr>
              <w:t xml:space="preserve">    </w:t>
            </w:r>
            <w:r>
              <w:rPr>
                <w:rFonts w:hint="eastAsia" w:ascii="宋体" w:hAnsi="宋体" w:cs="宋体"/>
                <w:sz w:val="18"/>
                <w:szCs w:val="18"/>
              </w:rPr>
              <w:t>计</w:t>
            </w:r>
          </w:p>
        </w:tc>
        <w:tc>
          <w:tcPr>
            <w:tcW w:w="2597" w:type="dxa"/>
            <w:tcBorders>
              <w:bottom w:val="single" w:color="auto" w:sz="12" w:space="0"/>
            </w:tcBorders>
            <w:vAlign w:val="center"/>
          </w:tcPr>
          <w:p>
            <w:pPr>
              <w:widowControl/>
              <w:jc w:val="right"/>
              <w:textAlignment w:val="center"/>
              <w:rPr>
                <w:rFonts w:ascii="Arial Narrow" w:hAnsi="Arial Narrow"/>
                <w:sz w:val="18"/>
                <w:szCs w:val="18"/>
              </w:rPr>
            </w:pPr>
            <w:r>
              <w:rPr>
                <w:rFonts w:ascii="Arial" w:hAnsi="Arial" w:cs="Arial"/>
                <w:color w:val="000000"/>
                <w:kern w:val="0"/>
                <w:sz w:val="18"/>
                <w:szCs w:val="18"/>
                <w:lang w:bidi="ar"/>
              </w:rPr>
              <w:t xml:space="preserve"> 14.81 </w:t>
            </w:r>
          </w:p>
        </w:tc>
        <w:tc>
          <w:tcPr>
            <w:tcW w:w="2595" w:type="dxa"/>
            <w:tcBorders>
              <w:bottom w:val="single" w:color="auto" w:sz="12" w:space="0"/>
            </w:tcBorders>
            <w:vAlign w:val="center"/>
          </w:tcPr>
          <w:p>
            <w:pPr>
              <w:widowControl/>
              <w:jc w:val="right"/>
              <w:textAlignment w:val="center"/>
              <w:rPr>
                <w:rFonts w:ascii="Arial Narrow" w:hAnsi="Arial Narrow"/>
                <w:sz w:val="18"/>
                <w:szCs w:val="18"/>
              </w:rPr>
            </w:pPr>
            <w:r>
              <w:rPr>
                <w:rFonts w:ascii="Arial" w:hAnsi="Arial" w:cs="Arial"/>
                <w:color w:val="000000"/>
                <w:kern w:val="0"/>
                <w:sz w:val="18"/>
                <w:szCs w:val="18"/>
                <w:lang w:bidi="ar"/>
              </w:rPr>
              <w:t xml:space="preserve"> -833.56 </w:t>
            </w:r>
          </w:p>
        </w:tc>
      </w:tr>
    </w:tbl>
    <w:p>
      <w:pPr>
        <w:pStyle w:val="15"/>
        <w:numPr>
          <w:ilvl w:val="0"/>
          <w:numId w:val="6"/>
        </w:numPr>
        <w:tabs>
          <w:tab w:val="left" w:pos="426"/>
          <w:tab w:val="left" w:pos="851"/>
          <w:tab w:val="left" w:pos="1134"/>
          <w:tab w:val="left" w:pos="1276"/>
        </w:tabs>
        <w:snapToGrid w:val="0"/>
        <w:spacing w:after="156" w:afterLines="50" w:line="460" w:lineRule="atLeast"/>
        <w:outlineLvl w:val="1"/>
        <w:rPr>
          <w:rFonts w:hAnsi="宋体" w:cs="Times New Roman"/>
          <w:bCs/>
          <w:snapToGrid w:val="0"/>
          <w:kern w:val="0"/>
        </w:rPr>
      </w:pPr>
      <w:r>
        <w:rPr>
          <w:rFonts w:hint="eastAsia" w:hAnsi="宋体" w:cs="Times New Roman"/>
          <w:bCs/>
          <w:snapToGrid w:val="0"/>
          <w:kern w:val="0"/>
        </w:rPr>
        <w:t>营业外支出</w:t>
      </w:r>
    </w:p>
    <w:tbl>
      <w:tblPr>
        <w:tblStyle w:val="31"/>
        <w:tblW w:w="8500" w:type="dxa"/>
        <w:jc w:val="center"/>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404"/>
        <w:gridCol w:w="1958"/>
        <w:gridCol w:w="2033"/>
        <w:gridCol w:w="2105"/>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blHeader/>
          <w:jc w:val="center"/>
        </w:trPr>
        <w:tc>
          <w:tcPr>
            <w:tcW w:w="2404" w:type="dxa"/>
            <w:tcBorders>
              <w:top w:val="single" w:color="auto" w:sz="12" w:space="0"/>
            </w:tcBorders>
            <w:vAlign w:val="center"/>
          </w:tcPr>
          <w:p>
            <w:pPr>
              <w:adjustRightInd w:val="0"/>
              <w:snapToGrid w:val="0"/>
              <w:jc w:val="center"/>
              <w:rPr>
                <w:rFonts w:ascii="宋体" w:hAnsi="宋体"/>
                <w:snapToGrid w:val="0"/>
                <w:kern w:val="0"/>
                <w:sz w:val="18"/>
                <w:szCs w:val="18"/>
              </w:rPr>
            </w:pPr>
            <w:r>
              <w:rPr>
                <w:rFonts w:hint="eastAsia" w:ascii="宋体" w:hAnsi="宋体" w:cs="宋体"/>
                <w:snapToGrid w:val="0"/>
                <w:kern w:val="0"/>
                <w:sz w:val="18"/>
                <w:szCs w:val="18"/>
              </w:rPr>
              <w:t>项</w:t>
            </w:r>
            <w:r>
              <w:rPr>
                <w:rFonts w:ascii="宋体" w:hAnsi="宋体" w:cs="宋体"/>
                <w:snapToGrid w:val="0"/>
                <w:kern w:val="0"/>
                <w:sz w:val="18"/>
                <w:szCs w:val="18"/>
              </w:rPr>
              <w:t xml:space="preserve">    </w:t>
            </w:r>
            <w:r>
              <w:rPr>
                <w:rFonts w:hint="eastAsia" w:ascii="宋体" w:hAnsi="宋体" w:cs="宋体"/>
                <w:snapToGrid w:val="0"/>
                <w:kern w:val="0"/>
                <w:sz w:val="18"/>
                <w:szCs w:val="18"/>
              </w:rPr>
              <w:t>目</w:t>
            </w:r>
          </w:p>
        </w:tc>
        <w:tc>
          <w:tcPr>
            <w:tcW w:w="1958" w:type="dxa"/>
            <w:tcBorders>
              <w:top w:val="single" w:color="auto" w:sz="12" w:space="0"/>
            </w:tcBorders>
            <w:vAlign w:val="center"/>
          </w:tcPr>
          <w:p>
            <w:pPr>
              <w:adjustRightInd w:val="0"/>
              <w:snapToGrid w:val="0"/>
              <w:jc w:val="center"/>
              <w:rPr>
                <w:rFonts w:ascii="宋体" w:hAnsi="宋体" w:cs="宋体"/>
                <w:snapToGrid w:val="0"/>
                <w:kern w:val="0"/>
                <w:sz w:val="18"/>
                <w:szCs w:val="18"/>
              </w:rPr>
            </w:pPr>
            <w:r>
              <w:rPr>
                <w:rFonts w:hint="eastAsia" w:ascii="宋体" w:hAnsi="宋体" w:cs="宋体"/>
                <w:snapToGrid w:val="0"/>
                <w:kern w:val="0"/>
                <w:sz w:val="18"/>
                <w:szCs w:val="18"/>
              </w:rPr>
              <w:t>本期发生额</w:t>
            </w:r>
          </w:p>
        </w:tc>
        <w:tc>
          <w:tcPr>
            <w:tcW w:w="2033" w:type="dxa"/>
            <w:tcBorders>
              <w:top w:val="single" w:color="auto" w:sz="12" w:space="0"/>
            </w:tcBorders>
            <w:vAlign w:val="center"/>
          </w:tcPr>
          <w:p>
            <w:pPr>
              <w:adjustRightInd w:val="0"/>
              <w:snapToGrid w:val="0"/>
              <w:jc w:val="center"/>
              <w:rPr>
                <w:rFonts w:ascii="宋体" w:hAnsi="宋体" w:cs="宋体"/>
                <w:snapToGrid w:val="0"/>
                <w:kern w:val="0"/>
                <w:sz w:val="18"/>
                <w:szCs w:val="18"/>
              </w:rPr>
            </w:pPr>
            <w:r>
              <w:rPr>
                <w:rFonts w:hint="eastAsia" w:ascii="宋体" w:hAnsi="宋体" w:cs="宋体"/>
                <w:snapToGrid w:val="0"/>
                <w:kern w:val="0"/>
                <w:sz w:val="18"/>
                <w:szCs w:val="18"/>
              </w:rPr>
              <w:t>上期发生额</w:t>
            </w:r>
          </w:p>
        </w:tc>
        <w:tc>
          <w:tcPr>
            <w:tcW w:w="2105" w:type="dxa"/>
            <w:tcBorders>
              <w:top w:val="single" w:color="auto" w:sz="12" w:space="0"/>
            </w:tcBorders>
            <w:vAlign w:val="center"/>
          </w:tcPr>
          <w:p>
            <w:pPr>
              <w:adjustRightInd w:val="0"/>
              <w:snapToGrid w:val="0"/>
              <w:jc w:val="center"/>
              <w:rPr>
                <w:rFonts w:ascii="宋体" w:hAnsi="宋体" w:cs="宋体"/>
                <w:snapToGrid w:val="0"/>
                <w:kern w:val="0"/>
                <w:sz w:val="18"/>
                <w:szCs w:val="18"/>
              </w:rPr>
            </w:pPr>
            <w:r>
              <w:rPr>
                <w:rFonts w:hint="eastAsia"/>
                <w:kern w:val="0"/>
                <w:sz w:val="18"/>
                <w:szCs w:val="18"/>
              </w:rPr>
              <w:t>计入当期非经常性损益的金额</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404" w:type="dxa"/>
            <w:vAlign w:val="center"/>
          </w:tcPr>
          <w:p>
            <w:pPr>
              <w:adjustRightInd w:val="0"/>
              <w:snapToGrid w:val="0"/>
              <w:rPr>
                <w:rFonts w:ascii="宋体" w:hAnsi="宋体"/>
                <w:snapToGrid w:val="0"/>
                <w:kern w:val="0"/>
                <w:sz w:val="18"/>
                <w:szCs w:val="18"/>
              </w:rPr>
            </w:pPr>
            <w:r>
              <w:rPr>
                <w:rFonts w:hint="eastAsia" w:ascii="宋体" w:hAnsi="宋体" w:cs="宋体"/>
                <w:snapToGrid w:val="0"/>
                <w:kern w:val="0"/>
                <w:sz w:val="18"/>
                <w:szCs w:val="18"/>
              </w:rPr>
              <w:t>其他</w:t>
            </w:r>
          </w:p>
        </w:tc>
        <w:tc>
          <w:tcPr>
            <w:tcW w:w="1958" w:type="dxa"/>
            <w:vAlign w:val="center"/>
          </w:tcPr>
          <w:p>
            <w:pPr>
              <w:widowControl/>
              <w:jc w:val="right"/>
              <w:textAlignment w:val="center"/>
              <w:rPr>
                <w:rFonts w:ascii="Arial" w:hAnsi="Arial" w:cs="Arial"/>
                <w:snapToGrid w:val="0"/>
                <w:kern w:val="0"/>
                <w:sz w:val="18"/>
                <w:szCs w:val="18"/>
              </w:rPr>
            </w:pPr>
            <w:r>
              <w:rPr>
                <w:rFonts w:ascii="Arial" w:hAnsi="Arial" w:eastAsia="Arial Narrow" w:cs="Arial"/>
                <w:color w:val="000000"/>
                <w:kern w:val="0"/>
                <w:sz w:val="18"/>
                <w:szCs w:val="18"/>
                <w:lang w:bidi="ar"/>
              </w:rPr>
              <w:t xml:space="preserve">0.57 </w:t>
            </w:r>
          </w:p>
        </w:tc>
        <w:tc>
          <w:tcPr>
            <w:tcW w:w="2033" w:type="dxa"/>
            <w:vAlign w:val="center"/>
          </w:tcPr>
          <w:p>
            <w:pPr>
              <w:widowControl/>
              <w:jc w:val="right"/>
              <w:textAlignment w:val="center"/>
              <w:rPr>
                <w:rFonts w:ascii="Arial" w:hAnsi="Arial" w:cs="Arial"/>
                <w:color w:val="000000"/>
                <w:sz w:val="18"/>
                <w:szCs w:val="18"/>
              </w:rPr>
            </w:pPr>
          </w:p>
        </w:tc>
        <w:tc>
          <w:tcPr>
            <w:tcW w:w="2105" w:type="dxa"/>
            <w:vAlign w:val="center"/>
          </w:tcPr>
          <w:p>
            <w:pPr>
              <w:adjustRightInd w:val="0"/>
              <w:snapToGrid w:val="0"/>
              <w:jc w:val="right"/>
              <w:rPr>
                <w:rFonts w:ascii="Arial Narrow" w:hAnsi="Arial Narrow"/>
                <w:snapToGrid w:val="0"/>
                <w:kern w:val="0"/>
                <w:sz w:val="18"/>
                <w:szCs w:val="18"/>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2404" w:type="dxa"/>
            <w:tcBorders>
              <w:bottom w:val="single" w:color="auto" w:sz="12" w:space="0"/>
            </w:tcBorders>
            <w:vAlign w:val="center"/>
          </w:tcPr>
          <w:p>
            <w:pPr>
              <w:adjustRightInd w:val="0"/>
              <w:snapToGrid w:val="0"/>
              <w:jc w:val="center"/>
              <w:rPr>
                <w:rFonts w:ascii="宋体" w:hAnsi="宋体"/>
                <w:snapToGrid w:val="0"/>
                <w:kern w:val="0"/>
                <w:sz w:val="18"/>
                <w:szCs w:val="18"/>
              </w:rPr>
            </w:pPr>
            <w:r>
              <w:rPr>
                <w:rFonts w:hint="eastAsia" w:ascii="宋体" w:hAnsi="宋体" w:cs="宋体"/>
                <w:snapToGrid w:val="0"/>
                <w:kern w:val="0"/>
                <w:sz w:val="18"/>
                <w:szCs w:val="18"/>
              </w:rPr>
              <w:t>合</w:t>
            </w:r>
            <w:r>
              <w:rPr>
                <w:rFonts w:ascii="宋体" w:hAnsi="宋体" w:cs="宋体"/>
                <w:snapToGrid w:val="0"/>
                <w:kern w:val="0"/>
                <w:sz w:val="18"/>
                <w:szCs w:val="18"/>
              </w:rPr>
              <w:t xml:space="preserve">    </w:t>
            </w:r>
            <w:r>
              <w:rPr>
                <w:rFonts w:hint="eastAsia" w:ascii="宋体" w:hAnsi="宋体" w:cs="宋体"/>
                <w:snapToGrid w:val="0"/>
                <w:kern w:val="0"/>
                <w:sz w:val="18"/>
                <w:szCs w:val="18"/>
              </w:rPr>
              <w:t>计</w:t>
            </w:r>
          </w:p>
        </w:tc>
        <w:tc>
          <w:tcPr>
            <w:tcW w:w="1958" w:type="dxa"/>
            <w:tcBorders>
              <w:bottom w:val="single" w:color="auto" w:sz="12" w:space="0"/>
            </w:tcBorders>
            <w:vAlign w:val="center"/>
          </w:tcPr>
          <w:p>
            <w:pPr>
              <w:widowControl/>
              <w:jc w:val="right"/>
              <w:textAlignment w:val="center"/>
              <w:rPr>
                <w:rFonts w:ascii="Arial" w:hAnsi="Arial" w:cs="Arial"/>
                <w:snapToGrid w:val="0"/>
                <w:kern w:val="0"/>
                <w:sz w:val="18"/>
                <w:szCs w:val="18"/>
              </w:rPr>
            </w:pPr>
            <w:r>
              <w:rPr>
                <w:rFonts w:ascii="Arial" w:hAnsi="Arial" w:cs="Arial"/>
                <w:color w:val="000000"/>
                <w:kern w:val="0"/>
                <w:sz w:val="18"/>
                <w:szCs w:val="18"/>
                <w:lang w:bidi="ar"/>
              </w:rPr>
              <w:t xml:space="preserve"> 0.57 </w:t>
            </w:r>
          </w:p>
        </w:tc>
        <w:tc>
          <w:tcPr>
            <w:tcW w:w="2033" w:type="dxa"/>
            <w:tcBorders>
              <w:bottom w:val="single" w:color="auto" w:sz="12" w:space="0"/>
            </w:tcBorders>
            <w:vAlign w:val="center"/>
          </w:tcPr>
          <w:p>
            <w:pPr>
              <w:widowControl/>
              <w:jc w:val="right"/>
              <w:textAlignment w:val="center"/>
              <w:rPr>
                <w:rFonts w:ascii="Arial" w:hAnsi="Arial" w:cs="Arial"/>
                <w:color w:val="000000"/>
                <w:sz w:val="18"/>
                <w:szCs w:val="18"/>
              </w:rPr>
            </w:pPr>
          </w:p>
        </w:tc>
        <w:tc>
          <w:tcPr>
            <w:tcW w:w="2105" w:type="dxa"/>
            <w:tcBorders>
              <w:bottom w:val="single" w:color="auto" w:sz="12" w:space="0"/>
            </w:tcBorders>
            <w:vAlign w:val="center"/>
          </w:tcPr>
          <w:p>
            <w:pPr>
              <w:adjustRightInd w:val="0"/>
              <w:snapToGrid w:val="0"/>
              <w:jc w:val="right"/>
              <w:rPr>
                <w:rFonts w:ascii="Arial Narrow" w:hAnsi="Arial Narrow"/>
                <w:snapToGrid w:val="0"/>
                <w:kern w:val="0"/>
                <w:sz w:val="18"/>
                <w:szCs w:val="18"/>
              </w:rPr>
            </w:pPr>
          </w:p>
        </w:tc>
      </w:tr>
    </w:tbl>
    <w:p>
      <w:pPr>
        <w:pStyle w:val="15"/>
        <w:numPr>
          <w:ilvl w:val="0"/>
          <w:numId w:val="6"/>
        </w:numPr>
        <w:tabs>
          <w:tab w:val="left" w:pos="426"/>
          <w:tab w:val="left" w:pos="851"/>
          <w:tab w:val="left" w:pos="1134"/>
          <w:tab w:val="left" w:pos="1276"/>
        </w:tabs>
        <w:snapToGrid w:val="0"/>
        <w:spacing w:after="156" w:afterLines="50" w:line="460" w:lineRule="atLeast"/>
        <w:outlineLvl w:val="1"/>
        <w:rPr>
          <w:rFonts w:hAnsi="宋体" w:cs="Times New Roman"/>
          <w:bCs/>
          <w:snapToGrid w:val="0"/>
          <w:kern w:val="0"/>
        </w:rPr>
      </w:pPr>
      <w:r>
        <w:rPr>
          <w:rFonts w:hint="eastAsia" w:hAnsi="宋体" w:cs="Times New Roman"/>
          <w:bCs/>
          <w:snapToGrid w:val="0"/>
          <w:kern w:val="0"/>
        </w:rPr>
        <w:t>现金流量表补充资料</w:t>
      </w:r>
    </w:p>
    <w:p>
      <w:pPr>
        <w:pStyle w:val="15"/>
        <w:tabs>
          <w:tab w:val="left" w:pos="426"/>
          <w:tab w:val="left" w:pos="851"/>
          <w:tab w:val="left" w:pos="1134"/>
          <w:tab w:val="left" w:pos="1276"/>
        </w:tabs>
        <w:snapToGrid w:val="0"/>
        <w:spacing w:after="156" w:afterLines="50" w:line="460" w:lineRule="atLeast"/>
        <w:ind w:firstLine="420" w:firstLineChars="200"/>
        <w:outlineLvl w:val="1"/>
        <w:rPr>
          <w:rFonts w:hAnsi="宋体" w:cs="Times New Roman"/>
          <w:bCs/>
          <w:snapToGrid w:val="0"/>
          <w:kern w:val="0"/>
        </w:rPr>
      </w:pPr>
      <w:r>
        <w:rPr>
          <w:rFonts w:hint="eastAsia" w:hAnsi="宋体" w:cs="Times New Roman"/>
          <w:bCs/>
          <w:snapToGrid w:val="0"/>
          <w:kern w:val="0"/>
        </w:rPr>
        <w:t>1、现金流量表补充资料</w:t>
      </w:r>
    </w:p>
    <w:tbl>
      <w:tblPr>
        <w:tblStyle w:val="31"/>
        <w:tblW w:w="8582" w:type="dxa"/>
        <w:jc w:val="center"/>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4825"/>
        <w:gridCol w:w="1879"/>
        <w:gridCol w:w="1878"/>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blHeader/>
          <w:jc w:val="center"/>
        </w:trPr>
        <w:tc>
          <w:tcPr>
            <w:tcW w:w="4825" w:type="dxa"/>
            <w:tcBorders>
              <w:top w:val="single" w:color="auto" w:sz="12" w:space="0"/>
            </w:tcBorders>
            <w:vAlign w:val="center"/>
          </w:tcPr>
          <w:p>
            <w:pPr>
              <w:snapToGrid w:val="0"/>
              <w:jc w:val="center"/>
              <w:rPr>
                <w:rFonts w:ascii="宋体"/>
                <w:snapToGrid w:val="0"/>
                <w:kern w:val="0"/>
                <w:sz w:val="18"/>
                <w:szCs w:val="18"/>
              </w:rPr>
            </w:pPr>
            <w:r>
              <w:rPr>
                <w:rFonts w:hint="eastAsia" w:ascii="宋体" w:hAnsi="宋体" w:cs="宋体"/>
                <w:snapToGrid w:val="0"/>
                <w:kern w:val="0"/>
                <w:sz w:val="18"/>
                <w:szCs w:val="18"/>
              </w:rPr>
              <w:t>项</w:t>
            </w:r>
            <w:r>
              <w:rPr>
                <w:rFonts w:ascii="宋体" w:hAnsi="宋体" w:cs="宋体"/>
                <w:snapToGrid w:val="0"/>
                <w:kern w:val="0"/>
                <w:sz w:val="18"/>
                <w:szCs w:val="18"/>
              </w:rPr>
              <w:t xml:space="preserve">    </w:t>
            </w:r>
            <w:r>
              <w:rPr>
                <w:rFonts w:hint="eastAsia" w:ascii="宋体" w:hAnsi="宋体" w:cs="宋体"/>
                <w:snapToGrid w:val="0"/>
                <w:kern w:val="0"/>
                <w:sz w:val="18"/>
                <w:szCs w:val="18"/>
              </w:rPr>
              <w:t>目</w:t>
            </w:r>
          </w:p>
        </w:tc>
        <w:tc>
          <w:tcPr>
            <w:tcW w:w="1879" w:type="dxa"/>
            <w:tcBorders>
              <w:top w:val="single" w:color="auto" w:sz="12" w:space="0"/>
            </w:tcBorders>
            <w:vAlign w:val="bottom"/>
          </w:tcPr>
          <w:p>
            <w:pPr>
              <w:snapToGrid w:val="0"/>
              <w:jc w:val="center"/>
              <w:rPr>
                <w:rFonts w:ascii="宋体" w:cs="宋体"/>
                <w:snapToGrid w:val="0"/>
                <w:kern w:val="0"/>
                <w:sz w:val="18"/>
                <w:szCs w:val="18"/>
              </w:rPr>
            </w:pPr>
            <w:r>
              <w:rPr>
                <w:rFonts w:hint="eastAsia" w:ascii="宋体" w:hAnsi="宋体" w:cs="宋体"/>
                <w:snapToGrid w:val="0"/>
                <w:kern w:val="0"/>
                <w:sz w:val="18"/>
                <w:szCs w:val="18"/>
              </w:rPr>
              <w:t>本期金额</w:t>
            </w:r>
          </w:p>
        </w:tc>
        <w:tc>
          <w:tcPr>
            <w:tcW w:w="1878" w:type="dxa"/>
            <w:tcBorders>
              <w:top w:val="single" w:color="auto" w:sz="12" w:space="0"/>
            </w:tcBorders>
            <w:vAlign w:val="bottom"/>
          </w:tcPr>
          <w:p>
            <w:pPr>
              <w:snapToGrid w:val="0"/>
              <w:jc w:val="center"/>
              <w:rPr>
                <w:rFonts w:ascii="宋体" w:cs="宋体"/>
                <w:snapToGrid w:val="0"/>
                <w:kern w:val="0"/>
                <w:sz w:val="18"/>
                <w:szCs w:val="18"/>
              </w:rPr>
            </w:pPr>
            <w:r>
              <w:rPr>
                <w:rFonts w:hint="eastAsia" w:ascii="宋体" w:hAnsi="宋体" w:cs="宋体"/>
                <w:snapToGrid w:val="0"/>
                <w:kern w:val="0"/>
                <w:sz w:val="18"/>
                <w:szCs w:val="18"/>
              </w:rPr>
              <w:t>上期金额</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825" w:type="dxa"/>
            <w:vAlign w:val="center"/>
          </w:tcPr>
          <w:p>
            <w:pPr>
              <w:tabs>
                <w:tab w:val="right" w:pos="7740"/>
              </w:tabs>
              <w:snapToGrid w:val="0"/>
              <w:rPr>
                <w:rFonts w:ascii="宋体"/>
                <w:bCs/>
                <w:snapToGrid w:val="0"/>
                <w:kern w:val="0"/>
                <w:sz w:val="18"/>
                <w:szCs w:val="18"/>
              </w:rPr>
            </w:pPr>
            <w:r>
              <w:rPr>
                <w:rFonts w:ascii="宋体" w:hAnsi="宋体" w:cs="宋体"/>
                <w:bCs/>
                <w:snapToGrid w:val="0"/>
                <w:kern w:val="0"/>
                <w:sz w:val="18"/>
                <w:szCs w:val="18"/>
              </w:rPr>
              <w:t>1</w:t>
            </w:r>
            <w:r>
              <w:rPr>
                <w:rFonts w:hint="eastAsia" w:ascii="宋体" w:hAnsi="宋体" w:cs="宋体"/>
                <w:bCs/>
                <w:snapToGrid w:val="0"/>
                <w:kern w:val="0"/>
                <w:sz w:val="18"/>
                <w:szCs w:val="18"/>
              </w:rPr>
              <w:t>.将净利润调节为经营活动现金流量：</w:t>
            </w:r>
          </w:p>
        </w:tc>
        <w:tc>
          <w:tcPr>
            <w:tcW w:w="1879" w:type="dxa"/>
            <w:vAlign w:val="center"/>
          </w:tcPr>
          <w:p>
            <w:pPr>
              <w:jc w:val="right"/>
              <w:rPr>
                <w:rFonts w:ascii="Arial" w:hAnsi="Arial" w:cs="Arial"/>
                <w:bCs/>
                <w:snapToGrid w:val="0"/>
                <w:kern w:val="0"/>
                <w:sz w:val="18"/>
                <w:szCs w:val="18"/>
              </w:rPr>
            </w:pPr>
          </w:p>
        </w:tc>
        <w:tc>
          <w:tcPr>
            <w:tcW w:w="1878" w:type="dxa"/>
            <w:vAlign w:val="center"/>
          </w:tcPr>
          <w:p>
            <w:pPr>
              <w:jc w:val="right"/>
              <w:rPr>
                <w:rFonts w:ascii="Arial" w:hAnsi="Arial" w:cs="Arial"/>
                <w:bCs/>
                <w:snapToGrid w:val="0"/>
                <w:kern w:val="0"/>
                <w:sz w:val="18"/>
                <w:szCs w:val="18"/>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825" w:type="dxa"/>
            <w:vAlign w:val="center"/>
          </w:tcPr>
          <w:p>
            <w:pPr>
              <w:tabs>
                <w:tab w:val="right" w:pos="7740"/>
              </w:tabs>
              <w:snapToGrid w:val="0"/>
              <w:rPr>
                <w:rFonts w:ascii="宋体"/>
                <w:snapToGrid w:val="0"/>
                <w:kern w:val="0"/>
                <w:sz w:val="18"/>
                <w:szCs w:val="18"/>
              </w:rPr>
            </w:pPr>
            <w:r>
              <w:rPr>
                <w:rFonts w:hint="eastAsia" w:ascii="宋体" w:hAnsi="宋体" w:cs="宋体"/>
                <w:snapToGrid w:val="0"/>
                <w:kern w:val="0"/>
                <w:sz w:val="18"/>
                <w:szCs w:val="18"/>
              </w:rPr>
              <w:t>净利润</w:t>
            </w:r>
          </w:p>
        </w:tc>
        <w:tc>
          <w:tcPr>
            <w:tcW w:w="1879" w:type="dxa"/>
            <w:vAlign w:val="center"/>
          </w:tcPr>
          <w:p>
            <w:pPr>
              <w:widowControl/>
              <w:jc w:val="right"/>
              <w:textAlignment w:val="center"/>
              <w:rPr>
                <w:rFonts w:ascii="Arial" w:hAnsi="Arial" w:cs="Arial"/>
                <w:snapToGrid w:val="0"/>
                <w:kern w:val="0"/>
                <w:sz w:val="18"/>
                <w:szCs w:val="18"/>
              </w:rPr>
            </w:pPr>
            <w:r>
              <w:rPr>
                <w:rFonts w:ascii="Arial" w:hAnsi="Arial" w:cs="Arial"/>
                <w:color w:val="000000"/>
                <w:kern w:val="0"/>
                <w:sz w:val="18"/>
                <w:szCs w:val="18"/>
                <w:lang w:bidi="ar"/>
              </w:rPr>
              <w:t xml:space="preserve"> -433,973.53 </w:t>
            </w:r>
          </w:p>
        </w:tc>
        <w:tc>
          <w:tcPr>
            <w:tcW w:w="1878" w:type="dxa"/>
            <w:vAlign w:val="center"/>
          </w:tcPr>
          <w:p>
            <w:pPr>
              <w:widowControl/>
              <w:jc w:val="right"/>
              <w:textAlignment w:val="center"/>
              <w:rPr>
                <w:rFonts w:ascii="Arial" w:hAnsi="Arial" w:cs="Arial"/>
                <w:snapToGrid w:val="0"/>
                <w:kern w:val="0"/>
                <w:sz w:val="18"/>
                <w:szCs w:val="18"/>
              </w:rPr>
            </w:pPr>
            <w:r>
              <w:rPr>
                <w:rFonts w:ascii="Arial" w:hAnsi="Arial" w:cs="Arial"/>
                <w:color w:val="000000"/>
                <w:kern w:val="0"/>
                <w:sz w:val="18"/>
                <w:szCs w:val="18"/>
                <w:lang w:bidi="ar"/>
              </w:rPr>
              <w:t xml:space="preserve"> -426,004.33 </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825" w:type="dxa"/>
            <w:vAlign w:val="center"/>
          </w:tcPr>
          <w:p>
            <w:pPr>
              <w:tabs>
                <w:tab w:val="right" w:pos="7740"/>
              </w:tabs>
              <w:snapToGrid w:val="0"/>
              <w:rPr>
                <w:rFonts w:ascii="宋体"/>
                <w:snapToGrid w:val="0"/>
                <w:kern w:val="0"/>
                <w:sz w:val="18"/>
                <w:szCs w:val="18"/>
              </w:rPr>
            </w:pPr>
            <w:r>
              <w:rPr>
                <w:rFonts w:hint="eastAsia" w:ascii="宋体" w:hAnsi="宋体" w:cs="宋体"/>
                <w:snapToGrid w:val="0"/>
                <w:kern w:val="0"/>
                <w:sz w:val="18"/>
                <w:szCs w:val="18"/>
              </w:rPr>
              <w:t>加：资产减值准备</w:t>
            </w:r>
          </w:p>
        </w:tc>
        <w:tc>
          <w:tcPr>
            <w:tcW w:w="1879" w:type="dxa"/>
            <w:vAlign w:val="center"/>
          </w:tcPr>
          <w:p>
            <w:pPr>
              <w:widowControl/>
              <w:jc w:val="right"/>
              <w:textAlignment w:val="center"/>
              <w:rPr>
                <w:rFonts w:ascii="Arial" w:hAnsi="Arial" w:cs="Arial"/>
                <w:snapToGrid w:val="0"/>
                <w:kern w:val="0"/>
                <w:sz w:val="18"/>
                <w:szCs w:val="18"/>
              </w:rPr>
            </w:pPr>
            <w:r>
              <w:rPr>
                <w:rFonts w:ascii="Arial" w:hAnsi="Arial" w:cs="Arial"/>
                <w:color w:val="000000"/>
                <w:kern w:val="0"/>
                <w:sz w:val="18"/>
                <w:szCs w:val="18"/>
                <w:lang w:bidi="ar"/>
              </w:rPr>
              <w:t xml:space="preserve"> 14.81 </w:t>
            </w:r>
          </w:p>
        </w:tc>
        <w:tc>
          <w:tcPr>
            <w:tcW w:w="1878" w:type="dxa"/>
            <w:vAlign w:val="center"/>
          </w:tcPr>
          <w:p>
            <w:pPr>
              <w:widowControl/>
              <w:jc w:val="right"/>
              <w:textAlignment w:val="center"/>
              <w:rPr>
                <w:rFonts w:ascii="Arial" w:hAnsi="Arial" w:cs="Arial"/>
                <w:snapToGrid w:val="0"/>
                <w:kern w:val="0"/>
                <w:sz w:val="18"/>
                <w:szCs w:val="18"/>
              </w:rPr>
            </w:pPr>
            <w:r>
              <w:rPr>
                <w:rFonts w:ascii="Arial" w:hAnsi="Arial" w:cs="Arial"/>
                <w:color w:val="000000"/>
                <w:kern w:val="0"/>
                <w:sz w:val="18"/>
                <w:szCs w:val="18"/>
                <w:lang w:bidi="ar"/>
              </w:rPr>
              <w:t xml:space="preserve"> -833.56 </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825" w:type="dxa"/>
            <w:vAlign w:val="center"/>
          </w:tcPr>
          <w:p>
            <w:pPr>
              <w:tabs>
                <w:tab w:val="right" w:pos="7740"/>
              </w:tabs>
              <w:snapToGrid w:val="0"/>
              <w:ind w:firstLine="360"/>
              <w:rPr>
                <w:rFonts w:ascii="宋体"/>
                <w:snapToGrid w:val="0"/>
                <w:kern w:val="0"/>
                <w:sz w:val="18"/>
                <w:szCs w:val="18"/>
              </w:rPr>
            </w:pPr>
            <w:r>
              <w:rPr>
                <w:rFonts w:hint="eastAsia" w:ascii="宋体" w:hAnsi="宋体" w:cs="宋体"/>
                <w:snapToGrid w:val="0"/>
                <w:kern w:val="0"/>
                <w:sz w:val="18"/>
                <w:szCs w:val="18"/>
              </w:rPr>
              <w:t>固定资产折旧、油气资产折耗、生产性生物资产折旧</w:t>
            </w:r>
          </w:p>
        </w:tc>
        <w:tc>
          <w:tcPr>
            <w:tcW w:w="1879" w:type="dxa"/>
            <w:vAlign w:val="center"/>
          </w:tcPr>
          <w:p>
            <w:pPr>
              <w:widowControl/>
              <w:jc w:val="right"/>
              <w:textAlignment w:val="center"/>
              <w:rPr>
                <w:rFonts w:ascii="Arial" w:hAnsi="Arial" w:cs="Arial"/>
                <w:snapToGrid w:val="0"/>
                <w:kern w:val="0"/>
                <w:sz w:val="18"/>
                <w:szCs w:val="18"/>
              </w:rPr>
            </w:pPr>
            <w:r>
              <w:rPr>
                <w:rFonts w:ascii="Arial" w:hAnsi="Arial" w:cs="Arial"/>
                <w:color w:val="000000"/>
                <w:kern w:val="0"/>
                <w:sz w:val="18"/>
                <w:szCs w:val="18"/>
                <w:lang w:bidi="ar"/>
              </w:rPr>
              <w:t xml:space="preserve"> 4,322.05 </w:t>
            </w:r>
          </w:p>
        </w:tc>
        <w:tc>
          <w:tcPr>
            <w:tcW w:w="1878" w:type="dxa"/>
            <w:vAlign w:val="center"/>
          </w:tcPr>
          <w:p>
            <w:pPr>
              <w:widowControl/>
              <w:jc w:val="right"/>
              <w:textAlignment w:val="center"/>
              <w:rPr>
                <w:rFonts w:ascii="Arial" w:hAnsi="Arial" w:cs="Arial"/>
                <w:snapToGrid w:val="0"/>
                <w:kern w:val="0"/>
                <w:sz w:val="18"/>
                <w:szCs w:val="18"/>
              </w:rPr>
            </w:pPr>
            <w:r>
              <w:rPr>
                <w:rFonts w:ascii="Arial" w:hAnsi="Arial" w:cs="Arial"/>
                <w:color w:val="000000"/>
                <w:kern w:val="0"/>
                <w:sz w:val="18"/>
                <w:szCs w:val="18"/>
                <w:lang w:bidi="ar"/>
              </w:rPr>
              <w:t xml:space="preserve"> 3,457.42 </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825" w:type="dxa"/>
            <w:vAlign w:val="center"/>
          </w:tcPr>
          <w:p>
            <w:pPr>
              <w:tabs>
                <w:tab w:val="right" w:pos="7740"/>
              </w:tabs>
              <w:snapToGrid w:val="0"/>
              <w:ind w:firstLine="360"/>
              <w:rPr>
                <w:rFonts w:ascii="宋体"/>
                <w:snapToGrid w:val="0"/>
                <w:kern w:val="0"/>
                <w:sz w:val="18"/>
                <w:szCs w:val="18"/>
              </w:rPr>
            </w:pPr>
            <w:r>
              <w:rPr>
                <w:rFonts w:hint="eastAsia" w:ascii="宋体" w:hAnsi="宋体" w:cs="宋体"/>
                <w:snapToGrid w:val="0"/>
                <w:kern w:val="0"/>
                <w:sz w:val="18"/>
                <w:szCs w:val="18"/>
              </w:rPr>
              <w:t>无形资产摊销</w:t>
            </w:r>
          </w:p>
        </w:tc>
        <w:tc>
          <w:tcPr>
            <w:tcW w:w="1879" w:type="dxa"/>
            <w:vAlign w:val="center"/>
          </w:tcPr>
          <w:p>
            <w:pPr>
              <w:jc w:val="right"/>
              <w:rPr>
                <w:rFonts w:ascii="Arial" w:hAnsi="Arial" w:cs="Arial"/>
                <w:snapToGrid w:val="0"/>
                <w:kern w:val="0"/>
                <w:sz w:val="18"/>
                <w:szCs w:val="18"/>
              </w:rPr>
            </w:pPr>
          </w:p>
        </w:tc>
        <w:tc>
          <w:tcPr>
            <w:tcW w:w="1878" w:type="dxa"/>
            <w:vAlign w:val="center"/>
          </w:tcPr>
          <w:p>
            <w:pPr>
              <w:widowControl/>
              <w:jc w:val="right"/>
              <w:textAlignment w:val="center"/>
              <w:rPr>
                <w:rFonts w:ascii="Arial" w:hAnsi="Arial" w:cs="Arial"/>
                <w:snapToGrid w:val="0"/>
                <w:kern w:val="0"/>
                <w:sz w:val="18"/>
                <w:szCs w:val="18"/>
              </w:rPr>
            </w:pPr>
            <w:r>
              <w:rPr>
                <w:rFonts w:ascii="Arial" w:hAnsi="Arial" w:cs="Arial"/>
                <w:color w:val="000000"/>
                <w:kern w:val="0"/>
                <w:sz w:val="18"/>
                <w:szCs w:val="18"/>
                <w:lang w:bidi="ar"/>
              </w:rPr>
              <w:t xml:space="preserve"> 　 </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825" w:type="dxa"/>
            <w:vAlign w:val="center"/>
          </w:tcPr>
          <w:p>
            <w:pPr>
              <w:tabs>
                <w:tab w:val="right" w:pos="7740"/>
              </w:tabs>
              <w:snapToGrid w:val="0"/>
              <w:ind w:firstLine="360"/>
              <w:rPr>
                <w:rFonts w:ascii="宋体"/>
                <w:snapToGrid w:val="0"/>
                <w:kern w:val="0"/>
                <w:sz w:val="18"/>
                <w:szCs w:val="18"/>
              </w:rPr>
            </w:pPr>
            <w:r>
              <w:rPr>
                <w:rFonts w:hint="eastAsia" w:ascii="宋体" w:hAnsi="宋体" w:cs="宋体"/>
                <w:snapToGrid w:val="0"/>
                <w:kern w:val="0"/>
                <w:sz w:val="18"/>
                <w:szCs w:val="18"/>
              </w:rPr>
              <w:t>长期待摊费用摊销</w:t>
            </w:r>
          </w:p>
        </w:tc>
        <w:tc>
          <w:tcPr>
            <w:tcW w:w="1879" w:type="dxa"/>
            <w:vAlign w:val="center"/>
          </w:tcPr>
          <w:p>
            <w:pPr>
              <w:jc w:val="right"/>
              <w:rPr>
                <w:rFonts w:ascii="Arial" w:hAnsi="Arial" w:cs="Arial"/>
                <w:snapToGrid w:val="0"/>
                <w:kern w:val="0"/>
                <w:sz w:val="18"/>
                <w:szCs w:val="18"/>
              </w:rPr>
            </w:pPr>
          </w:p>
        </w:tc>
        <w:tc>
          <w:tcPr>
            <w:tcW w:w="1878" w:type="dxa"/>
            <w:vAlign w:val="center"/>
          </w:tcPr>
          <w:p>
            <w:pPr>
              <w:widowControl/>
              <w:jc w:val="right"/>
              <w:textAlignment w:val="center"/>
              <w:rPr>
                <w:rFonts w:ascii="Arial" w:hAnsi="Arial" w:cs="Arial"/>
                <w:snapToGrid w:val="0"/>
                <w:kern w:val="0"/>
                <w:sz w:val="18"/>
                <w:szCs w:val="18"/>
              </w:rPr>
            </w:pPr>
            <w:r>
              <w:rPr>
                <w:rFonts w:ascii="Arial" w:hAnsi="Arial" w:cs="Arial"/>
                <w:color w:val="000000"/>
                <w:kern w:val="0"/>
                <w:sz w:val="18"/>
                <w:szCs w:val="18"/>
                <w:lang w:bidi="ar"/>
              </w:rPr>
              <w:t xml:space="preserve"> 　 </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825" w:type="dxa"/>
            <w:vAlign w:val="center"/>
          </w:tcPr>
          <w:p>
            <w:pPr>
              <w:tabs>
                <w:tab w:val="right" w:pos="7740"/>
              </w:tabs>
              <w:snapToGrid w:val="0"/>
              <w:ind w:left="361" w:leftChars="172"/>
              <w:rPr>
                <w:rFonts w:ascii="宋体"/>
                <w:snapToGrid w:val="0"/>
                <w:kern w:val="0"/>
                <w:sz w:val="18"/>
                <w:szCs w:val="18"/>
              </w:rPr>
            </w:pPr>
            <w:r>
              <w:rPr>
                <w:rFonts w:hint="eastAsia" w:ascii="宋体" w:hAnsi="宋体" w:cs="宋体"/>
                <w:snapToGrid w:val="0"/>
                <w:kern w:val="0"/>
                <w:sz w:val="18"/>
                <w:szCs w:val="18"/>
              </w:rPr>
              <w:t>处置固定资产、无形资产和其他长期资产的损失（收益以“－”号填列）</w:t>
            </w:r>
          </w:p>
        </w:tc>
        <w:tc>
          <w:tcPr>
            <w:tcW w:w="1879" w:type="dxa"/>
            <w:vAlign w:val="center"/>
          </w:tcPr>
          <w:p>
            <w:pPr>
              <w:jc w:val="right"/>
              <w:rPr>
                <w:rFonts w:ascii="Arial" w:hAnsi="Arial" w:cs="Arial"/>
                <w:snapToGrid w:val="0"/>
                <w:kern w:val="0"/>
                <w:sz w:val="18"/>
                <w:szCs w:val="18"/>
              </w:rPr>
            </w:pPr>
          </w:p>
        </w:tc>
        <w:tc>
          <w:tcPr>
            <w:tcW w:w="1878" w:type="dxa"/>
            <w:vAlign w:val="center"/>
          </w:tcPr>
          <w:p>
            <w:pPr>
              <w:widowControl/>
              <w:jc w:val="right"/>
              <w:textAlignment w:val="center"/>
              <w:rPr>
                <w:rFonts w:ascii="Arial" w:hAnsi="Arial" w:cs="Arial"/>
                <w:snapToGrid w:val="0"/>
                <w:kern w:val="0"/>
                <w:sz w:val="18"/>
                <w:szCs w:val="18"/>
              </w:rPr>
            </w:pPr>
            <w:r>
              <w:rPr>
                <w:rFonts w:ascii="Arial" w:hAnsi="Arial" w:cs="Arial"/>
                <w:color w:val="000000"/>
                <w:kern w:val="0"/>
                <w:sz w:val="18"/>
                <w:szCs w:val="18"/>
                <w:lang w:bidi="ar"/>
              </w:rPr>
              <w:t xml:space="preserve"> 　 </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825" w:type="dxa"/>
            <w:vAlign w:val="center"/>
          </w:tcPr>
          <w:p>
            <w:pPr>
              <w:tabs>
                <w:tab w:val="right" w:pos="7740"/>
              </w:tabs>
              <w:snapToGrid w:val="0"/>
              <w:ind w:firstLine="360"/>
              <w:rPr>
                <w:rFonts w:ascii="宋体"/>
                <w:snapToGrid w:val="0"/>
                <w:kern w:val="0"/>
                <w:sz w:val="18"/>
                <w:szCs w:val="18"/>
              </w:rPr>
            </w:pPr>
            <w:r>
              <w:rPr>
                <w:rFonts w:hint="eastAsia" w:ascii="宋体" w:hAnsi="宋体" w:cs="宋体"/>
                <w:snapToGrid w:val="0"/>
                <w:kern w:val="0"/>
                <w:sz w:val="18"/>
                <w:szCs w:val="18"/>
              </w:rPr>
              <w:t>固定资产报废损失（收益以“－”号填列）</w:t>
            </w:r>
          </w:p>
        </w:tc>
        <w:tc>
          <w:tcPr>
            <w:tcW w:w="1879" w:type="dxa"/>
            <w:vAlign w:val="center"/>
          </w:tcPr>
          <w:p>
            <w:pPr>
              <w:jc w:val="right"/>
              <w:rPr>
                <w:rFonts w:ascii="Arial" w:hAnsi="Arial" w:cs="Arial"/>
                <w:snapToGrid w:val="0"/>
                <w:kern w:val="0"/>
                <w:sz w:val="18"/>
                <w:szCs w:val="18"/>
              </w:rPr>
            </w:pPr>
          </w:p>
        </w:tc>
        <w:tc>
          <w:tcPr>
            <w:tcW w:w="1878" w:type="dxa"/>
            <w:vAlign w:val="center"/>
          </w:tcPr>
          <w:p>
            <w:pPr>
              <w:widowControl/>
              <w:jc w:val="right"/>
              <w:textAlignment w:val="center"/>
              <w:rPr>
                <w:rFonts w:ascii="Arial" w:hAnsi="Arial" w:cs="Arial"/>
                <w:snapToGrid w:val="0"/>
                <w:kern w:val="0"/>
                <w:sz w:val="18"/>
                <w:szCs w:val="18"/>
              </w:rPr>
            </w:pPr>
            <w:r>
              <w:rPr>
                <w:rFonts w:ascii="Arial" w:hAnsi="Arial" w:cs="Arial"/>
                <w:color w:val="000000"/>
                <w:kern w:val="0"/>
                <w:sz w:val="18"/>
                <w:szCs w:val="18"/>
                <w:lang w:bidi="ar"/>
              </w:rPr>
              <w:t xml:space="preserve"> 　 </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825" w:type="dxa"/>
            <w:vAlign w:val="center"/>
          </w:tcPr>
          <w:p>
            <w:pPr>
              <w:tabs>
                <w:tab w:val="right" w:pos="7740"/>
              </w:tabs>
              <w:snapToGrid w:val="0"/>
              <w:ind w:firstLine="360"/>
              <w:rPr>
                <w:rFonts w:ascii="宋体"/>
                <w:snapToGrid w:val="0"/>
                <w:kern w:val="0"/>
                <w:sz w:val="18"/>
                <w:szCs w:val="18"/>
              </w:rPr>
            </w:pPr>
            <w:r>
              <w:rPr>
                <w:rFonts w:hint="eastAsia" w:ascii="宋体" w:hAnsi="宋体" w:cs="宋体"/>
                <w:snapToGrid w:val="0"/>
                <w:kern w:val="0"/>
                <w:sz w:val="18"/>
                <w:szCs w:val="18"/>
              </w:rPr>
              <w:t>公允价值变动损失（收益以“－”号填列）</w:t>
            </w:r>
          </w:p>
        </w:tc>
        <w:tc>
          <w:tcPr>
            <w:tcW w:w="1879" w:type="dxa"/>
            <w:vAlign w:val="center"/>
          </w:tcPr>
          <w:p>
            <w:pPr>
              <w:jc w:val="right"/>
              <w:rPr>
                <w:rFonts w:ascii="Arial" w:hAnsi="Arial" w:cs="Arial"/>
                <w:snapToGrid w:val="0"/>
                <w:kern w:val="0"/>
                <w:sz w:val="18"/>
                <w:szCs w:val="18"/>
              </w:rPr>
            </w:pPr>
          </w:p>
        </w:tc>
        <w:tc>
          <w:tcPr>
            <w:tcW w:w="1878" w:type="dxa"/>
            <w:vAlign w:val="center"/>
          </w:tcPr>
          <w:p>
            <w:pPr>
              <w:widowControl/>
              <w:jc w:val="right"/>
              <w:textAlignment w:val="center"/>
              <w:rPr>
                <w:rFonts w:ascii="Arial" w:hAnsi="Arial" w:cs="Arial"/>
                <w:snapToGrid w:val="0"/>
                <w:kern w:val="0"/>
                <w:sz w:val="18"/>
                <w:szCs w:val="18"/>
              </w:rPr>
            </w:pPr>
            <w:r>
              <w:rPr>
                <w:rFonts w:ascii="Arial" w:hAnsi="Arial" w:cs="Arial"/>
                <w:color w:val="000000"/>
                <w:kern w:val="0"/>
                <w:sz w:val="18"/>
                <w:szCs w:val="18"/>
                <w:lang w:bidi="ar"/>
              </w:rPr>
              <w:t xml:space="preserve"> 　 </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825" w:type="dxa"/>
            <w:vAlign w:val="center"/>
          </w:tcPr>
          <w:p>
            <w:pPr>
              <w:tabs>
                <w:tab w:val="right" w:pos="7740"/>
              </w:tabs>
              <w:snapToGrid w:val="0"/>
              <w:ind w:firstLine="360"/>
              <w:rPr>
                <w:rFonts w:ascii="宋体"/>
                <w:snapToGrid w:val="0"/>
                <w:kern w:val="0"/>
                <w:sz w:val="18"/>
                <w:szCs w:val="18"/>
              </w:rPr>
            </w:pPr>
            <w:r>
              <w:rPr>
                <w:rFonts w:hint="eastAsia" w:ascii="宋体" w:hAnsi="宋体" w:cs="宋体"/>
                <w:snapToGrid w:val="0"/>
                <w:kern w:val="0"/>
                <w:sz w:val="18"/>
                <w:szCs w:val="18"/>
              </w:rPr>
              <w:t>财务费用（收益以“－”号填列）</w:t>
            </w:r>
          </w:p>
        </w:tc>
        <w:tc>
          <w:tcPr>
            <w:tcW w:w="1879" w:type="dxa"/>
            <w:vAlign w:val="center"/>
          </w:tcPr>
          <w:p>
            <w:pPr>
              <w:jc w:val="right"/>
              <w:rPr>
                <w:rFonts w:ascii="Arial" w:hAnsi="Arial" w:cs="Arial"/>
                <w:snapToGrid w:val="0"/>
                <w:kern w:val="0"/>
                <w:sz w:val="18"/>
                <w:szCs w:val="18"/>
              </w:rPr>
            </w:pPr>
          </w:p>
        </w:tc>
        <w:tc>
          <w:tcPr>
            <w:tcW w:w="1878" w:type="dxa"/>
            <w:vAlign w:val="center"/>
          </w:tcPr>
          <w:p>
            <w:pPr>
              <w:widowControl/>
              <w:jc w:val="right"/>
              <w:textAlignment w:val="center"/>
              <w:rPr>
                <w:rFonts w:ascii="Arial" w:hAnsi="Arial" w:cs="Arial"/>
                <w:snapToGrid w:val="0"/>
                <w:kern w:val="0"/>
                <w:sz w:val="18"/>
                <w:szCs w:val="18"/>
              </w:rPr>
            </w:pPr>
            <w:r>
              <w:rPr>
                <w:rFonts w:ascii="Arial" w:hAnsi="Arial" w:cs="Arial"/>
                <w:color w:val="000000"/>
                <w:kern w:val="0"/>
                <w:sz w:val="18"/>
                <w:szCs w:val="18"/>
                <w:lang w:bidi="ar"/>
              </w:rPr>
              <w:t xml:space="preserve"> 　 </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825" w:type="dxa"/>
            <w:vAlign w:val="center"/>
          </w:tcPr>
          <w:p>
            <w:pPr>
              <w:tabs>
                <w:tab w:val="right" w:pos="7740"/>
              </w:tabs>
              <w:snapToGrid w:val="0"/>
              <w:ind w:firstLine="360"/>
              <w:rPr>
                <w:rFonts w:ascii="宋体"/>
                <w:snapToGrid w:val="0"/>
                <w:kern w:val="0"/>
                <w:sz w:val="18"/>
                <w:szCs w:val="18"/>
              </w:rPr>
            </w:pPr>
            <w:r>
              <w:rPr>
                <w:rFonts w:hint="eastAsia" w:ascii="宋体" w:hAnsi="宋体" w:cs="宋体"/>
                <w:snapToGrid w:val="0"/>
                <w:kern w:val="0"/>
                <w:sz w:val="18"/>
                <w:szCs w:val="18"/>
              </w:rPr>
              <w:t>投资损失（收益以“－”号填列）</w:t>
            </w:r>
          </w:p>
        </w:tc>
        <w:tc>
          <w:tcPr>
            <w:tcW w:w="1879" w:type="dxa"/>
            <w:vAlign w:val="center"/>
          </w:tcPr>
          <w:p>
            <w:pPr>
              <w:jc w:val="right"/>
              <w:rPr>
                <w:rFonts w:ascii="Arial" w:hAnsi="Arial" w:cs="Arial"/>
                <w:snapToGrid w:val="0"/>
                <w:kern w:val="0"/>
                <w:sz w:val="18"/>
                <w:szCs w:val="18"/>
              </w:rPr>
            </w:pPr>
          </w:p>
        </w:tc>
        <w:tc>
          <w:tcPr>
            <w:tcW w:w="1878" w:type="dxa"/>
            <w:vAlign w:val="center"/>
          </w:tcPr>
          <w:p>
            <w:pPr>
              <w:widowControl/>
              <w:jc w:val="right"/>
              <w:textAlignment w:val="center"/>
              <w:rPr>
                <w:rFonts w:ascii="Arial" w:hAnsi="Arial" w:cs="Arial"/>
                <w:snapToGrid w:val="0"/>
                <w:kern w:val="0"/>
                <w:sz w:val="18"/>
                <w:szCs w:val="18"/>
              </w:rPr>
            </w:pPr>
            <w:r>
              <w:rPr>
                <w:rFonts w:ascii="Arial" w:hAnsi="Arial" w:cs="Arial"/>
                <w:color w:val="000000"/>
                <w:kern w:val="0"/>
                <w:sz w:val="18"/>
                <w:szCs w:val="18"/>
                <w:lang w:bidi="ar"/>
              </w:rPr>
              <w:t xml:space="preserve"> 　 </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825" w:type="dxa"/>
            <w:vAlign w:val="center"/>
          </w:tcPr>
          <w:p>
            <w:pPr>
              <w:tabs>
                <w:tab w:val="right" w:pos="7740"/>
              </w:tabs>
              <w:snapToGrid w:val="0"/>
              <w:ind w:firstLine="360"/>
              <w:rPr>
                <w:rFonts w:ascii="宋体"/>
                <w:snapToGrid w:val="0"/>
                <w:kern w:val="0"/>
                <w:sz w:val="18"/>
                <w:szCs w:val="18"/>
              </w:rPr>
            </w:pPr>
            <w:r>
              <w:rPr>
                <w:rFonts w:hint="eastAsia" w:ascii="宋体" w:hAnsi="宋体" w:cs="宋体"/>
                <w:snapToGrid w:val="0"/>
                <w:kern w:val="0"/>
                <w:sz w:val="18"/>
                <w:szCs w:val="18"/>
              </w:rPr>
              <w:t>递延所得税资产减少（增加以“－”号填列）</w:t>
            </w:r>
          </w:p>
        </w:tc>
        <w:tc>
          <w:tcPr>
            <w:tcW w:w="1879" w:type="dxa"/>
            <w:vAlign w:val="center"/>
          </w:tcPr>
          <w:p>
            <w:pPr>
              <w:jc w:val="right"/>
              <w:rPr>
                <w:rFonts w:ascii="Arial" w:hAnsi="Arial" w:cs="Arial"/>
                <w:snapToGrid w:val="0"/>
                <w:kern w:val="0"/>
                <w:sz w:val="18"/>
                <w:szCs w:val="18"/>
              </w:rPr>
            </w:pPr>
          </w:p>
        </w:tc>
        <w:tc>
          <w:tcPr>
            <w:tcW w:w="1878" w:type="dxa"/>
            <w:vAlign w:val="center"/>
          </w:tcPr>
          <w:p>
            <w:pPr>
              <w:widowControl/>
              <w:jc w:val="right"/>
              <w:textAlignment w:val="center"/>
              <w:rPr>
                <w:rFonts w:ascii="Arial" w:hAnsi="Arial" w:cs="Arial"/>
                <w:snapToGrid w:val="0"/>
                <w:kern w:val="0"/>
                <w:sz w:val="18"/>
                <w:szCs w:val="18"/>
              </w:rPr>
            </w:pPr>
            <w:r>
              <w:rPr>
                <w:rFonts w:ascii="Arial" w:hAnsi="Arial" w:cs="Arial"/>
                <w:color w:val="000000"/>
                <w:kern w:val="0"/>
                <w:sz w:val="18"/>
                <w:szCs w:val="18"/>
                <w:lang w:bidi="ar"/>
              </w:rPr>
              <w:t xml:space="preserve"> 　 </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825" w:type="dxa"/>
            <w:vAlign w:val="center"/>
          </w:tcPr>
          <w:p>
            <w:pPr>
              <w:tabs>
                <w:tab w:val="right" w:pos="7740"/>
              </w:tabs>
              <w:snapToGrid w:val="0"/>
              <w:ind w:firstLine="360"/>
              <w:rPr>
                <w:rFonts w:ascii="宋体"/>
                <w:snapToGrid w:val="0"/>
                <w:kern w:val="0"/>
                <w:sz w:val="18"/>
                <w:szCs w:val="18"/>
              </w:rPr>
            </w:pPr>
            <w:r>
              <w:rPr>
                <w:rFonts w:hint="eastAsia" w:ascii="宋体" w:hAnsi="宋体" w:cs="宋体"/>
                <w:snapToGrid w:val="0"/>
                <w:kern w:val="0"/>
                <w:sz w:val="18"/>
                <w:szCs w:val="18"/>
              </w:rPr>
              <w:t>递延所得税负债增加（减少以“－”号填列）</w:t>
            </w:r>
          </w:p>
        </w:tc>
        <w:tc>
          <w:tcPr>
            <w:tcW w:w="1879" w:type="dxa"/>
            <w:vAlign w:val="center"/>
          </w:tcPr>
          <w:p>
            <w:pPr>
              <w:jc w:val="right"/>
              <w:rPr>
                <w:rFonts w:ascii="Arial" w:hAnsi="Arial" w:cs="Arial"/>
                <w:snapToGrid w:val="0"/>
                <w:kern w:val="0"/>
                <w:sz w:val="18"/>
                <w:szCs w:val="18"/>
              </w:rPr>
            </w:pPr>
          </w:p>
        </w:tc>
        <w:tc>
          <w:tcPr>
            <w:tcW w:w="1878" w:type="dxa"/>
            <w:vAlign w:val="center"/>
          </w:tcPr>
          <w:p>
            <w:pPr>
              <w:widowControl/>
              <w:jc w:val="right"/>
              <w:textAlignment w:val="center"/>
              <w:rPr>
                <w:rFonts w:ascii="Arial" w:hAnsi="Arial" w:cs="Arial"/>
                <w:snapToGrid w:val="0"/>
                <w:kern w:val="0"/>
                <w:sz w:val="18"/>
                <w:szCs w:val="18"/>
              </w:rPr>
            </w:pPr>
            <w:r>
              <w:rPr>
                <w:rFonts w:ascii="Arial" w:hAnsi="Arial" w:cs="Arial"/>
                <w:color w:val="000000"/>
                <w:kern w:val="0"/>
                <w:sz w:val="18"/>
                <w:szCs w:val="18"/>
                <w:lang w:bidi="ar"/>
              </w:rPr>
              <w:t xml:space="preserve"> 　 </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825" w:type="dxa"/>
            <w:vAlign w:val="center"/>
          </w:tcPr>
          <w:p>
            <w:pPr>
              <w:tabs>
                <w:tab w:val="right" w:pos="7740"/>
              </w:tabs>
              <w:snapToGrid w:val="0"/>
              <w:ind w:firstLine="360"/>
              <w:rPr>
                <w:rFonts w:ascii="宋体"/>
                <w:snapToGrid w:val="0"/>
                <w:kern w:val="0"/>
                <w:sz w:val="18"/>
                <w:szCs w:val="18"/>
              </w:rPr>
            </w:pPr>
            <w:r>
              <w:rPr>
                <w:rFonts w:hint="eastAsia" w:ascii="宋体" w:hAnsi="宋体" w:cs="宋体"/>
                <w:snapToGrid w:val="0"/>
                <w:kern w:val="0"/>
                <w:sz w:val="18"/>
                <w:szCs w:val="18"/>
              </w:rPr>
              <w:t>存货的减少（增加以“－”号填列）</w:t>
            </w:r>
          </w:p>
        </w:tc>
        <w:tc>
          <w:tcPr>
            <w:tcW w:w="1879" w:type="dxa"/>
            <w:vAlign w:val="center"/>
          </w:tcPr>
          <w:p>
            <w:pPr>
              <w:jc w:val="right"/>
              <w:rPr>
                <w:rFonts w:ascii="Arial" w:hAnsi="Arial" w:cs="Arial"/>
                <w:snapToGrid w:val="0"/>
                <w:kern w:val="0"/>
                <w:sz w:val="18"/>
                <w:szCs w:val="18"/>
              </w:rPr>
            </w:pPr>
          </w:p>
        </w:tc>
        <w:tc>
          <w:tcPr>
            <w:tcW w:w="1878" w:type="dxa"/>
            <w:vAlign w:val="center"/>
          </w:tcPr>
          <w:p>
            <w:pPr>
              <w:widowControl/>
              <w:jc w:val="right"/>
              <w:textAlignment w:val="center"/>
              <w:rPr>
                <w:rFonts w:ascii="Arial" w:hAnsi="Arial" w:cs="Arial"/>
                <w:snapToGrid w:val="0"/>
                <w:kern w:val="0"/>
                <w:sz w:val="18"/>
                <w:szCs w:val="18"/>
              </w:rPr>
            </w:pPr>
            <w:r>
              <w:rPr>
                <w:rFonts w:ascii="Arial" w:hAnsi="Arial" w:cs="Arial"/>
                <w:color w:val="000000"/>
                <w:kern w:val="0"/>
                <w:sz w:val="18"/>
                <w:szCs w:val="18"/>
                <w:lang w:bidi="ar"/>
              </w:rPr>
              <w:t xml:space="preserve"> 　 </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825" w:type="dxa"/>
            <w:vAlign w:val="center"/>
          </w:tcPr>
          <w:p>
            <w:pPr>
              <w:tabs>
                <w:tab w:val="right" w:pos="7740"/>
              </w:tabs>
              <w:snapToGrid w:val="0"/>
              <w:ind w:firstLine="360"/>
              <w:rPr>
                <w:rFonts w:ascii="宋体"/>
                <w:snapToGrid w:val="0"/>
                <w:kern w:val="0"/>
                <w:sz w:val="18"/>
                <w:szCs w:val="18"/>
              </w:rPr>
            </w:pPr>
            <w:r>
              <w:rPr>
                <w:rFonts w:hint="eastAsia" w:ascii="宋体" w:hAnsi="宋体" w:cs="宋体"/>
                <w:snapToGrid w:val="0"/>
                <w:kern w:val="0"/>
                <w:sz w:val="18"/>
                <w:szCs w:val="18"/>
              </w:rPr>
              <w:t>经营性应收项目的减少（增加以“－”号填列）</w:t>
            </w:r>
          </w:p>
        </w:tc>
        <w:tc>
          <w:tcPr>
            <w:tcW w:w="1879" w:type="dxa"/>
            <w:vAlign w:val="center"/>
          </w:tcPr>
          <w:p>
            <w:pPr>
              <w:widowControl/>
              <w:jc w:val="right"/>
              <w:textAlignment w:val="center"/>
              <w:rPr>
                <w:rFonts w:ascii="Arial" w:hAnsi="Arial" w:cs="Arial"/>
                <w:snapToGrid w:val="0"/>
                <w:kern w:val="0"/>
                <w:sz w:val="18"/>
                <w:szCs w:val="18"/>
              </w:rPr>
            </w:pPr>
            <w:r>
              <w:rPr>
                <w:rFonts w:ascii="Arial" w:hAnsi="Arial" w:cs="Arial"/>
                <w:color w:val="000000"/>
                <w:kern w:val="0"/>
                <w:sz w:val="18"/>
                <w:szCs w:val="18"/>
                <w:lang w:bidi="ar"/>
              </w:rPr>
              <w:t xml:space="preserve"> -31,172.85 </w:t>
            </w:r>
          </w:p>
        </w:tc>
        <w:tc>
          <w:tcPr>
            <w:tcW w:w="1878" w:type="dxa"/>
            <w:vAlign w:val="center"/>
          </w:tcPr>
          <w:p>
            <w:pPr>
              <w:widowControl/>
              <w:jc w:val="right"/>
              <w:textAlignment w:val="center"/>
              <w:rPr>
                <w:rFonts w:ascii="Arial" w:hAnsi="Arial" w:cs="Arial"/>
                <w:snapToGrid w:val="0"/>
                <w:kern w:val="0"/>
                <w:sz w:val="18"/>
                <w:szCs w:val="18"/>
              </w:rPr>
            </w:pPr>
            <w:r>
              <w:rPr>
                <w:rFonts w:ascii="Arial" w:hAnsi="Arial" w:cs="Arial"/>
                <w:color w:val="000000"/>
                <w:kern w:val="0"/>
                <w:sz w:val="18"/>
                <w:szCs w:val="18"/>
                <w:lang w:bidi="ar"/>
              </w:rPr>
              <w:t xml:space="preserve"> 201,858..67 </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825" w:type="dxa"/>
            <w:vAlign w:val="center"/>
          </w:tcPr>
          <w:p>
            <w:pPr>
              <w:tabs>
                <w:tab w:val="right" w:pos="7740"/>
              </w:tabs>
              <w:snapToGrid w:val="0"/>
              <w:ind w:firstLine="360"/>
              <w:rPr>
                <w:rFonts w:ascii="宋体"/>
                <w:snapToGrid w:val="0"/>
                <w:kern w:val="0"/>
                <w:sz w:val="18"/>
                <w:szCs w:val="18"/>
              </w:rPr>
            </w:pPr>
            <w:r>
              <w:rPr>
                <w:rFonts w:hint="eastAsia" w:ascii="宋体" w:hAnsi="宋体" w:cs="宋体"/>
                <w:snapToGrid w:val="0"/>
                <w:kern w:val="0"/>
                <w:sz w:val="18"/>
                <w:szCs w:val="18"/>
              </w:rPr>
              <w:t>经营性应付项目的增加（减少以“－”号填列）</w:t>
            </w:r>
          </w:p>
        </w:tc>
        <w:tc>
          <w:tcPr>
            <w:tcW w:w="1879" w:type="dxa"/>
            <w:vAlign w:val="center"/>
          </w:tcPr>
          <w:p>
            <w:pPr>
              <w:widowControl/>
              <w:jc w:val="right"/>
              <w:textAlignment w:val="center"/>
              <w:rPr>
                <w:rFonts w:ascii="Arial" w:hAnsi="Arial" w:cs="Arial"/>
                <w:snapToGrid w:val="0"/>
                <w:kern w:val="0"/>
                <w:sz w:val="18"/>
                <w:szCs w:val="18"/>
              </w:rPr>
            </w:pPr>
            <w:r>
              <w:rPr>
                <w:rFonts w:ascii="Arial" w:hAnsi="Arial" w:cs="Arial"/>
                <w:color w:val="000000"/>
                <w:kern w:val="0"/>
                <w:sz w:val="18"/>
                <w:szCs w:val="18"/>
                <w:lang w:bidi="ar"/>
              </w:rPr>
              <w:t xml:space="preserve"> 49,106.97 </w:t>
            </w:r>
          </w:p>
        </w:tc>
        <w:tc>
          <w:tcPr>
            <w:tcW w:w="1878" w:type="dxa"/>
            <w:vAlign w:val="center"/>
          </w:tcPr>
          <w:p>
            <w:pPr>
              <w:widowControl/>
              <w:jc w:val="right"/>
              <w:textAlignment w:val="center"/>
              <w:rPr>
                <w:rFonts w:ascii="Arial" w:hAnsi="Arial" w:cs="Arial"/>
                <w:snapToGrid w:val="0"/>
                <w:kern w:val="0"/>
                <w:sz w:val="18"/>
                <w:szCs w:val="18"/>
              </w:rPr>
            </w:pPr>
            <w:r>
              <w:rPr>
                <w:rFonts w:ascii="Arial" w:hAnsi="Arial" w:cs="Arial"/>
                <w:color w:val="000000"/>
                <w:kern w:val="0"/>
                <w:sz w:val="18"/>
                <w:szCs w:val="18"/>
                <w:lang w:bidi="ar"/>
              </w:rPr>
              <w:t xml:space="preserve"> -460,516.27 </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825" w:type="dxa"/>
            <w:vAlign w:val="center"/>
          </w:tcPr>
          <w:p>
            <w:pPr>
              <w:tabs>
                <w:tab w:val="right" w:pos="7740"/>
              </w:tabs>
              <w:snapToGrid w:val="0"/>
              <w:ind w:firstLine="360"/>
              <w:rPr>
                <w:rFonts w:ascii="宋体"/>
                <w:snapToGrid w:val="0"/>
                <w:kern w:val="0"/>
                <w:sz w:val="18"/>
                <w:szCs w:val="18"/>
              </w:rPr>
            </w:pPr>
            <w:r>
              <w:rPr>
                <w:rFonts w:hint="eastAsia" w:ascii="宋体" w:hAnsi="宋体" w:cs="宋体"/>
                <w:snapToGrid w:val="0"/>
                <w:kern w:val="0"/>
                <w:sz w:val="18"/>
                <w:szCs w:val="18"/>
              </w:rPr>
              <w:t>其他</w:t>
            </w:r>
          </w:p>
        </w:tc>
        <w:tc>
          <w:tcPr>
            <w:tcW w:w="1879" w:type="dxa"/>
            <w:vAlign w:val="center"/>
          </w:tcPr>
          <w:p>
            <w:pPr>
              <w:jc w:val="right"/>
              <w:rPr>
                <w:rFonts w:ascii="Arial" w:hAnsi="Arial" w:cs="Arial"/>
                <w:snapToGrid w:val="0"/>
                <w:kern w:val="0"/>
                <w:sz w:val="18"/>
                <w:szCs w:val="18"/>
              </w:rPr>
            </w:pPr>
          </w:p>
        </w:tc>
        <w:tc>
          <w:tcPr>
            <w:tcW w:w="1878" w:type="dxa"/>
            <w:vAlign w:val="center"/>
          </w:tcPr>
          <w:p>
            <w:pPr>
              <w:widowControl/>
              <w:jc w:val="right"/>
              <w:textAlignment w:val="center"/>
              <w:rPr>
                <w:rFonts w:ascii="Arial" w:hAnsi="Arial" w:cs="Arial"/>
                <w:snapToGrid w:val="0"/>
                <w:kern w:val="0"/>
                <w:sz w:val="18"/>
                <w:szCs w:val="18"/>
              </w:rPr>
            </w:pPr>
            <w:r>
              <w:rPr>
                <w:rFonts w:ascii="Arial" w:hAnsi="Arial" w:cs="Arial"/>
                <w:color w:val="000000"/>
                <w:kern w:val="0"/>
                <w:sz w:val="18"/>
                <w:szCs w:val="18"/>
                <w:lang w:bidi="ar"/>
              </w:rPr>
              <w:t xml:space="preserve"> 　 </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825" w:type="dxa"/>
            <w:vAlign w:val="center"/>
          </w:tcPr>
          <w:p>
            <w:pPr>
              <w:tabs>
                <w:tab w:val="right" w:pos="7740"/>
              </w:tabs>
              <w:snapToGrid w:val="0"/>
              <w:rPr>
                <w:rFonts w:ascii="宋体"/>
                <w:snapToGrid w:val="0"/>
                <w:kern w:val="0"/>
                <w:sz w:val="18"/>
                <w:szCs w:val="18"/>
              </w:rPr>
            </w:pPr>
            <w:r>
              <w:rPr>
                <w:rFonts w:hint="eastAsia" w:ascii="宋体" w:hAnsi="宋体" w:cs="宋体"/>
                <w:snapToGrid w:val="0"/>
                <w:kern w:val="0"/>
                <w:sz w:val="18"/>
                <w:szCs w:val="18"/>
              </w:rPr>
              <w:t>经营活动产生的现金流量净额</w:t>
            </w:r>
          </w:p>
        </w:tc>
        <w:tc>
          <w:tcPr>
            <w:tcW w:w="1879" w:type="dxa"/>
            <w:vAlign w:val="center"/>
          </w:tcPr>
          <w:p>
            <w:pPr>
              <w:widowControl/>
              <w:jc w:val="right"/>
              <w:textAlignment w:val="center"/>
              <w:rPr>
                <w:rFonts w:ascii="Arial" w:hAnsi="Arial" w:cs="Arial"/>
                <w:snapToGrid w:val="0"/>
                <w:kern w:val="0"/>
                <w:sz w:val="18"/>
                <w:szCs w:val="18"/>
              </w:rPr>
            </w:pPr>
            <w:r>
              <w:rPr>
                <w:rFonts w:ascii="Arial" w:hAnsi="Arial" w:cs="Arial"/>
                <w:color w:val="000000"/>
                <w:kern w:val="0"/>
                <w:sz w:val="18"/>
                <w:szCs w:val="18"/>
                <w:lang w:bidi="ar"/>
              </w:rPr>
              <w:t xml:space="preserve"> -411,702.55 </w:t>
            </w:r>
          </w:p>
        </w:tc>
        <w:tc>
          <w:tcPr>
            <w:tcW w:w="1878" w:type="dxa"/>
            <w:vAlign w:val="center"/>
          </w:tcPr>
          <w:p>
            <w:pPr>
              <w:widowControl/>
              <w:jc w:val="right"/>
              <w:textAlignment w:val="center"/>
              <w:rPr>
                <w:rFonts w:ascii="Arial" w:hAnsi="Arial" w:cs="Arial"/>
                <w:snapToGrid w:val="0"/>
                <w:kern w:val="0"/>
                <w:sz w:val="18"/>
                <w:szCs w:val="18"/>
              </w:rPr>
            </w:pPr>
            <w:r>
              <w:rPr>
                <w:rFonts w:ascii="Arial" w:hAnsi="Arial" w:cs="Arial"/>
                <w:color w:val="000000"/>
                <w:kern w:val="0"/>
                <w:sz w:val="18"/>
                <w:szCs w:val="18"/>
                <w:lang w:bidi="ar"/>
              </w:rPr>
              <w:t xml:space="preserve"> -682,038.07 </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825" w:type="dxa"/>
            <w:vAlign w:val="center"/>
          </w:tcPr>
          <w:p>
            <w:pPr>
              <w:tabs>
                <w:tab w:val="right" w:pos="7740"/>
              </w:tabs>
              <w:snapToGrid w:val="0"/>
              <w:rPr>
                <w:rFonts w:ascii="宋体"/>
                <w:bCs/>
                <w:snapToGrid w:val="0"/>
                <w:kern w:val="0"/>
                <w:sz w:val="18"/>
                <w:szCs w:val="18"/>
              </w:rPr>
            </w:pPr>
            <w:r>
              <w:rPr>
                <w:rFonts w:ascii="宋体" w:hAnsi="宋体" w:cs="宋体"/>
                <w:bCs/>
                <w:snapToGrid w:val="0"/>
                <w:kern w:val="0"/>
                <w:sz w:val="18"/>
                <w:szCs w:val="18"/>
              </w:rPr>
              <w:t>2</w:t>
            </w:r>
            <w:r>
              <w:rPr>
                <w:rFonts w:hint="eastAsia" w:ascii="宋体" w:hAnsi="宋体" w:cs="宋体"/>
                <w:bCs/>
                <w:snapToGrid w:val="0"/>
                <w:kern w:val="0"/>
                <w:sz w:val="18"/>
                <w:szCs w:val="18"/>
              </w:rPr>
              <w:t>.不涉及现金收支的重大投资和筹资活动：</w:t>
            </w:r>
          </w:p>
        </w:tc>
        <w:tc>
          <w:tcPr>
            <w:tcW w:w="1879" w:type="dxa"/>
            <w:vAlign w:val="center"/>
          </w:tcPr>
          <w:p>
            <w:pPr>
              <w:jc w:val="right"/>
              <w:rPr>
                <w:rFonts w:ascii="Arial" w:hAnsi="Arial" w:cs="Arial"/>
                <w:bCs/>
                <w:snapToGrid w:val="0"/>
                <w:kern w:val="0"/>
                <w:sz w:val="18"/>
                <w:szCs w:val="18"/>
              </w:rPr>
            </w:pPr>
          </w:p>
        </w:tc>
        <w:tc>
          <w:tcPr>
            <w:tcW w:w="1878" w:type="dxa"/>
            <w:vAlign w:val="center"/>
          </w:tcPr>
          <w:p>
            <w:pPr>
              <w:widowControl/>
              <w:jc w:val="right"/>
              <w:textAlignment w:val="center"/>
              <w:rPr>
                <w:rFonts w:ascii="Arial" w:hAnsi="Arial" w:cs="Arial"/>
                <w:bCs/>
                <w:snapToGrid w:val="0"/>
                <w:kern w:val="0"/>
                <w:sz w:val="18"/>
                <w:szCs w:val="18"/>
              </w:rPr>
            </w:pPr>
            <w:r>
              <w:rPr>
                <w:rFonts w:ascii="Arial" w:hAnsi="Arial" w:cs="Arial"/>
                <w:color w:val="000000"/>
                <w:kern w:val="0"/>
                <w:sz w:val="18"/>
                <w:szCs w:val="18"/>
                <w:lang w:bidi="ar"/>
              </w:rPr>
              <w:t xml:space="preserve"> 　 </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825" w:type="dxa"/>
            <w:vAlign w:val="center"/>
          </w:tcPr>
          <w:p>
            <w:pPr>
              <w:snapToGrid w:val="0"/>
              <w:rPr>
                <w:rFonts w:ascii="宋体"/>
                <w:snapToGrid w:val="0"/>
                <w:kern w:val="0"/>
                <w:sz w:val="18"/>
                <w:szCs w:val="18"/>
              </w:rPr>
            </w:pPr>
            <w:r>
              <w:rPr>
                <w:rFonts w:hint="eastAsia" w:ascii="宋体" w:hAnsi="宋体" w:cs="宋体"/>
                <w:snapToGrid w:val="0"/>
                <w:kern w:val="0"/>
                <w:sz w:val="18"/>
                <w:szCs w:val="18"/>
              </w:rPr>
              <w:t>债务转为资本</w:t>
            </w:r>
          </w:p>
        </w:tc>
        <w:tc>
          <w:tcPr>
            <w:tcW w:w="1879" w:type="dxa"/>
            <w:vAlign w:val="center"/>
          </w:tcPr>
          <w:p>
            <w:pPr>
              <w:jc w:val="right"/>
              <w:rPr>
                <w:rFonts w:ascii="Arial" w:hAnsi="Arial" w:cs="Arial"/>
                <w:snapToGrid w:val="0"/>
                <w:kern w:val="0"/>
                <w:sz w:val="18"/>
                <w:szCs w:val="18"/>
              </w:rPr>
            </w:pPr>
          </w:p>
        </w:tc>
        <w:tc>
          <w:tcPr>
            <w:tcW w:w="1878" w:type="dxa"/>
            <w:vAlign w:val="center"/>
          </w:tcPr>
          <w:p>
            <w:pPr>
              <w:widowControl/>
              <w:jc w:val="right"/>
              <w:textAlignment w:val="center"/>
              <w:rPr>
                <w:rFonts w:ascii="Arial" w:hAnsi="Arial" w:cs="Arial"/>
                <w:snapToGrid w:val="0"/>
                <w:kern w:val="0"/>
                <w:sz w:val="18"/>
                <w:szCs w:val="18"/>
              </w:rPr>
            </w:pPr>
            <w:r>
              <w:rPr>
                <w:rFonts w:ascii="Arial" w:hAnsi="Arial" w:cs="Arial"/>
                <w:color w:val="000000"/>
                <w:kern w:val="0"/>
                <w:sz w:val="18"/>
                <w:szCs w:val="18"/>
                <w:lang w:bidi="ar"/>
              </w:rPr>
              <w:t xml:space="preserve"> 　 </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825" w:type="dxa"/>
            <w:vAlign w:val="center"/>
          </w:tcPr>
          <w:p>
            <w:pPr>
              <w:snapToGrid w:val="0"/>
              <w:rPr>
                <w:rFonts w:ascii="宋体"/>
                <w:bCs/>
                <w:snapToGrid w:val="0"/>
                <w:kern w:val="0"/>
                <w:sz w:val="18"/>
                <w:szCs w:val="18"/>
              </w:rPr>
            </w:pPr>
            <w:r>
              <w:rPr>
                <w:rFonts w:hint="eastAsia" w:ascii="宋体" w:hAnsi="宋体" w:cs="宋体"/>
                <w:snapToGrid w:val="0"/>
                <w:kern w:val="0"/>
                <w:sz w:val="18"/>
                <w:szCs w:val="18"/>
              </w:rPr>
              <w:t>一年内到期的可转换公司债券</w:t>
            </w:r>
          </w:p>
        </w:tc>
        <w:tc>
          <w:tcPr>
            <w:tcW w:w="1879" w:type="dxa"/>
            <w:vAlign w:val="center"/>
          </w:tcPr>
          <w:p>
            <w:pPr>
              <w:jc w:val="right"/>
              <w:rPr>
                <w:rFonts w:ascii="Arial" w:hAnsi="Arial" w:cs="Arial"/>
                <w:snapToGrid w:val="0"/>
                <w:kern w:val="0"/>
                <w:sz w:val="18"/>
                <w:szCs w:val="18"/>
              </w:rPr>
            </w:pPr>
          </w:p>
        </w:tc>
        <w:tc>
          <w:tcPr>
            <w:tcW w:w="1878" w:type="dxa"/>
            <w:vAlign w:val="center"/>
          </w:tcPr>
          <w:p>
            <w:pPr>
              <w:widowControl/>
              <w:jc w:val="right"/>
              <w:textAlignment w:val="center"/>
              <w:rPr>
                <w:rFonts w:ascii="Arial" w:hAnsi="Arial" w:cs="Arial"/>
                <w:snapToGrid w:val="0"/>
                <w:kern w:val="0"/>
                <w:sz w:val="18"/>
                <w:szCs w:val="18"/>
              </w:rPr>
            </w:pPr>
            <w:r>
              <w:rPr>
                <w:rFonts w:ascii="Arial" w:hAnsi="Arial" w:cs="Arial"/>
                <w:color w:val="000000"/>
                <w:kern w:val="0"/>
                <w:sz w:val="18"/>
                <w:szCs w:val="18"/>
                <w:lang w:bidi="ar"/>
              </w:rPr>
              <w:t xml:space="preserve"> 　 </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825" w:type="dxa"/>
            <w:vAlign w:val="center"/>
          </w:tcPr>
          <w:p>
            <w:pPr>
              <w:snapToGrid w:val="0"/>
              <w:rPr>
                <w:rFonts w:ascii="宋体"/>
                <w:bCs/>
                <w:snapToGrid w:val="0"/>
                <w:kern w:val="0"/>
                <w:sz w:val="18"/>
                <w:szCs w:val="18"/>
              </w:rPr>
            </w:pPr>
            <w:r>
              <w:rPr>
                <w:rFonts w:hint="eastAsia" w:ascii="宋体" w:hAnsi="宋体" w:cs="宋体"/>
                <w:snapToGrid w:val="0"/>
                <w:kern w:val="0"/>
                <w:sz w:val="18"/>
                <w:szCs w:val="18"/>
              </w:rPr>
              <w:t>融资租入固定资产</w:t>
            </w:r>
          </w:p>
        </w:tc>
        <w:tc>
          <w:tcPr>
            <w:tcW w:w="1879" w:type="dxa"/>
            <w:vAlign w:val="center"/>
          </w:tcPr>
          <w:p>
            <w:pPr>
              <w:jc w:val="right"/>
              <w:rPr>
                <w:rFonts w:ascii="Arial" w:hAnsi="Arial" w:cs="Arial"/>
                <w:snapToGrid w:val="0"/>
                <w:kern w:val="0"/>
                <w:sz w:val="18"/>
                <w:szCs w:val="18"/>
              </w:rPr>
            </w:pPr>
          </w:p>
        </w:tc>
        <w:tc>
          <w:tcPr>
            <w:tcW w:w="1878" w:type="dxa"/>
            <w:vAlign w:val="center"/>
          </w:tcPr>
          <w:p>
            <w:pPr>
              <w:widowControl/>
              <w:jc w:val="right"/>
              <w:textAlignment w:val="center"/>
              <w:rPr>
                <w:rFonts w:ascii="Arial" w:hAnsi="Arial" w:cs="Arial"/>
                <w:snapToGrid w:val="0"/>
                <w:kern w:val="0"/>
                <w:sz w:val="18"/>
                <w:szCs w:val="18"/>
              </w:rPr>
            </w:pPr>
            <w:r>
              <w:rPr>
                <w:rFonts w:ascii="Arial" w:hAnsi="Arial" w:cs="Arial"/>
                <w:color w:val="000000"/>
                <w:kern w:val="0"/>
                <w:sz w:val="18"/>
                <w:szCs w:val="18"/>
                <w:lang w:bidi="ar"/>
              </w:rPr>
              <w:t xml:space="preserve"> 　 </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825" w:type="dxa"/>
            <w:vAlign w:val="center"/>
          </w:tcPr>
          <w:p>
            <w:pPr>
              <w:tabs>
                <w:tab w:val="right" w:pos="7740"/>
              </w:tabs>
              <w:snapToGrid w:val="0"/>
              <w:rPr>
                <w:rFonts w:ascii="宋体"/>
                <w:bCs/>
                <w:snapToGrid w:val="0"/>
                <w:kern w:val="0"/>
                <w:sz w:val="18"/>
                <w:szCs w:val="18"/>
              </w:rPr>
            </w:pPr>
            <w:r>
              <w:rPr>
                <w:rFonts w:ascii="宋体" w:hAnsi="宋体" w:cs="宋体"/>
                <w:bCs/>
                <w:snapToGrid w:val="0"/>
                <w:kern w:val="0"/>
                <w:sz w:val="18"/>
                <w:szCs w:val="18"/>
              </w:rPr>
              <w:t>3</w:t>
            </w:r>
            <w:r>
              <w:rPr>
                <w:rFonts w:hint="eastAsia" w:ascii="宋体" w:hAnsi="宋体" w:cs="宋体"/>
                <w:bCs/>
                <w:snapToGrid w:val="0"/>
                <w:kern w:val="0"/>
                <w:sz w:val="18"/>
                <w:szCs w:val="18"/>
              </w:rPr>
              <w:t>.现金及现金等价物净变动情况：</w:t>
            </w:r>
          </w:p>
        </w:tc>
        <w:tc>
          <w:tcPr>
            <w:tcW w:w="1879" w:type="dxa"/>
            <w:vAlign w:val="center"/>
          </w:tcPr>
          <w:p>
            <w:pPr>
              <w:jc w:val="right"/>
              <w:rPr>
                <w:rFonts w:ascii="Arial" w:hAnsi="Arial" w:cs="Arial"/>
                <w:bCs/>
                <w:snapToGrid w:val="0"/>
                <w:kern w:val="0"/>
                <w:sz w:val="18"/>
                <w:szCs w:val="18"/>
              </w:rPr>
            </w:pPr>
          </w:p>
        </w:tc>
        <w:tc>
          <w:tcPr>
            <w:tcW w:w="1878" w:type="dxa"/>
            <w:vAlign w:val="center"/>
          </w:tcPr>
          <w:p>
            <w:pPr>
              <w:widowControl/>
              <w:jc w:val="right"/>
              <w:textAlignment w:val="center"/>
              <w:rPr>
                <w:rFonts w:ascii="Arial" w:hAnsi="Arial" w:cs="Arial"/>
                <w:bCs/>
                <w:snapToGrid w:val="0"/>
                <w:kern w:val="0"/>
                <w:sz w:val="18"/>
                <w:szCs w:val="18"/>
              </w:rPr>
            </w:pPr>
            <w:r>
              <w:rPr>
                <w:rFonts w:ascii="Arial" w:hAnsi="Arial" w:cs="Arial"/>
                <w:color w:val="000000"/>
                <w:kern w:val="0"/>
                <w:sz w:val="18"/>
                <w:szCs w:val="18"/>
                <w:lang w:bidi="ar"/>
              </w:rPr>
              <w:t xml:space="preserve"> 　 </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825" w:type="dxa"/>
            <w:vAlign w:val="center"/>
          </w:tcPr>
          <w:p>
            <w:pPr>
              <w:tabs>
                <w:tab w:val="right" w:pos="7740"/>
              </w:tabs>
              <w:snapToGrid w:val="0"/>
              <w:rPr>
                <w:rFonts w:ascii="宋体"/>
                <w:snapToGrid w:val="0"/>
                <w:kern w:val="0"/>
                <w:sz w:val="18"/>
                <w:szCs w:val="18"/>
              </w:rPr>
            </w:pPr>
            <w:r>
              <w:rPr>
                <w:rFonts w:hint="eastAsia" w:ascii="宋体" w:hAnsi="宋体" w:cs="宋体"/>
                <w:snapToGrid w:val="0"/>
                <w:kern w:val="0"/>
                <w:sz w:val="18"/>
                <w:szCs w:val="18"/>
              </w:rPr>
              <w:t>现金的期末余额</w:t>
            </w:r>
          </w:p>
        </w:tc>
        <w:tc>
          <w:tcPr>
            <w:tcW w:w="1879" w:type="dxa"/>
            <w:vAlign w:val="center"/>
          </w:tcPr>
          <w:p>
            <w:pPr>
              <w:widowControl/>
              <w:jc w:val="right"/>
              <w:textAlignment w:val="center"/>
              <w:rPr>
                <w:rFonts w:ascii="Arial" w:hAnsi="Arial" w:cs="Arial"/>
                <w:snapToGrid w:val="0"/>
                <w:kern w:val="0"/>
                <w:sz w:val="18"/>
                <w:szCs w:val="18"/>
              </w:rPr>
            </w:pPr>
            <w:r>
              <w:rPr>
                <w:rFonts w:ascii="Arial" w:hAnsi="Arial" w:cs="Arial"/>
                <w:color w:val="000000"/>
                <w:kern w:val="0"/>
                <w:sz w:val="18"/>
                <w:szCs w:val="18"/>
                <w:lang w:bidi="ar"/>
              </w:rPr>
              <w:t xml:space="preserve"> 1,691,433.82 </w:t>
            </w:r>
          </w:p>
        </w:tc>
        <w:tc>
          <w:tcPr>
            <w:tcW w:w="1878" w:type="dxa"/>
            <w:vAlign w:val="center"/>
          </w:tcPr>
          <w:p>
            <w:pPr>
              <w:widowControl/>
              <w:jc w:val="right"/>
              <w:textAlignment w:val="center"/>
              <w:rPr>
                <w:rFonts w:ascii="Arial" w:hAnsi="Arial" w:cs="Arial"/>
                <w:snapToGrid w:val="0"/>
                <w:kern w:val="0"/>
                <w:sz w:val="18"/>
                <w:szCs w:val="18"/>
              </w:rPr>
            </w:pPr>
            <w:r>
              <w:rPr>
                <w:rFonts w:ascii="Arial" w:hAnsi="Arial" w:cs="Arial"/>
                <w:color w:val="000000"/>
                <w:kern w:val="0"/>
                <w:sz w:val="18"/>
                <w:szCs w:val="18"/>
                <w:lang w:bidi="ar"/>
              </w:rPr>
              <w:t xml:space="preserve"> 1,519,416.37 </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825" w:type="dxa"/>
            <w:vAlign w:val="center"/>
          </w:tcPr>
          <w:p>
            <w:pPr>
              <w:tabs>
                <w:tab w:val="right" w:pos="7740"/>
              </w:tabs>
              <w:snapToGrid w:val="0"/>
              <w:rPr>
                <w:rFonts w:ascii="宋体"/>
                <w:snapToGrid w:val="0"/>
                <w:kern w:val="0"/>
                <w:sz w:val="18"/>
                <w:szCs w:val="18"/>
              </w:rPr>
            </w:pPr>
            <w:r>
              <w:rPr>
                <w:rFonts w:hint="eastAsia" w:ascii="宋体" w:hAnsi="宋体" w:cs="宋体"/>
                <w:snapToGrid w:val="0"/>
                <w:kern w:val="0"/>
                <w:sz w:val="18"/>
                <w:szCs w:val="18"/>
              </w:rPr>
              <w:t>减：现金的年初余额</w:t>
            </w:r>
          </w:p>
        </w:tc>
        <w:tc>
          <w:tcPr>
            <w:tcW w:w="1879" w:type="dxa"/>
            <w:vAlign w:val="center"/>
          </w:tcPr>
          <w:p>
            <w:pPr>
              <w:widowControl/>
              <w:jc w:val="right"/>
              <w:textAlignment w:val="center"/>
              <w:rPr>
                <w:rFonts w:ascii="Arial" w:hAnsi="Arial" w:cs="Arial"/>
                <w:snapToGrid w:val="0"/>
                <w:kern w:val="0"/>
                <w:sz w:val="18"/>
                <w:szCs w:val="18"/>
              </w:rPr>
            </w:pPr>
            <w:r>
              <w:rPr>
                <w:rFonts w:ascii="Arial" w:hAnsi="Arial" w:cs="Arial"/>
                <w:color w:val="000000"/>
                <w:kern w:val="0"/>
                <w:sz w:val="18"/>
                <w:szCs w:val="18"/>
                <w:lang w:bidi="ar"/>
              </w:rPr>
              <w:t xml:space="preserve"> 1,519,416.37 </w:t>
            </w:r>
          </w:p>
        </w:tc>
        <w:tc>
          <w:tcPr>
            <w:tcW w:w="1878" w:type="dxa"/>
            <w:vAlign w:val="center"/>
          </w:tcPr>
          <w:p>
            <w:pPr>
              <w:widowControl/>
              <w:jc w:val="right"/>
              <w:textAlignment w:val="center"/>
              <w:rPr>
                <w:rFonts w:ascii="Arial" w:hAnsi="Arial" w:cs="Arial"/>
                <w:snapToGrid w:val="0"/>
                <w:kern w:val="0"/>
                <w:sz w:val="18"/>
                <w:szCs w:val="18"/>
              </w:rPr>
            </w:pPr>
            <w:r>
              <w:rPr>
                <w:rFonts w:ascii="Arial" w:hAnsi="Arial" w:cs="Arial"/>
                <w:color w:val="000000"/>
                <w:kern w:val="0"/>
                <w:sz w:val="18"/>
                <w:szCs w:val="18"/>
                <w:lang w:bidi="ar"/>
              </w:rPr>
              <w:t xml:space="preserve"> 1,949,254.44 </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825" w:type="dxa"/>
            <w:vAlign w:val="center"/>
          </w:tcPr>
          <w:p>
            <w:pPr>
              <w:snapToGrid w:val="0"/>
              <w:rPr>
                <w:rFonts w:ascii="宋体"/>
                <w:bCs/>
                <w:snapToGrid w:val="0"/>
                <w:kern w:val="0"/>
                <w:sz w:val="18"/>
                <w:szCs w:val="18"/>
              </w:rPr>
            </w:pPr>
            <w:r>
              <w:rPr>
                <w:rFonts w:hint="eastAsia" w:ascii="宋体" w:hAnsi="宋体" w:cs="宋体"/>
                <w:snapToGrid w:val="0"/>
                <w:kern w:val="0"/>
                <w:sz w:val="18"/>
                <w:szCs w:val="18"/>
              </w:rPr>
              <w:t>加：现金等价物的期末余额</w:t>
            </w:r>
          </w:p>
        </w:tc>
        <w:tc>
          <w:tcPr>
            <w:tcW w:w="1879" w:type="dxa"/>
            <w:vAlign w:val="center"/>
          </w:tcPr>
          <w:p>
            <w:pPr>
              <w:jc w:val="right"/>
              <w:rPr>
                <w:rFonts w:ascii="Arial" w:hAnsi="Arial" w:cs="Arial"/>
                <w:snapToGrid w:val="0"/>
                <w:kern w:val="0"/>
                <w:sz w:val="18"/>
                <w:szCs w:val="18"/>
              </w:rPr>
            </w:pPr>
          </w:p>
        </w:tc>
        <w:tc>
          <w:tcPr>
            <w:tcW w:w="1878" w:type="dxa"/>
            <w:vAlign w:val="center"/>
          </w:tcPr>
          <w:p>
            <w:pPr>
              <w:widowControl/>
              <w:jc w:val="right"/>
              <w:textAlignment w:val="center"/>
              <w:rPr>
                <w:rFonts w:ascii="Arial" w:hAnsi="Arial" w:cs="Arial"/>
                <w:snapToGrid w:val="0"/>
                <w:kern w:val="0"/>
                <w:sz w:val="18"/>
                <w:szCs w:val="18"/>
              </w:rPr>
            </w:pPr>
            <w:r>
              <w:rPr>
                <w:rFonts w:ascii="Arial" w:hAnsi="Arial" w:cs="Arial"/>
                <w:color w:val="000000"/>
                <w:kern w:val="0"/>
                <w:sz w:val="18"/>
                <w:szCs w:val="18"/>
                <w:lang w:bidi="ar"/>
              </w:rPr>
              <w:t xml:space="preserve"> 　 </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825" w:type="dxa"/>
            <w:vAlign w:val="center"/>
          </w:tcPr>
          <w:p>
            <w:pPr>
              <w:snapToGrid w:val="0"/>
              <w:rPr>
                <w:rFonts w:ascii="宋体"/>
                <w:snapToGrid w:val="0"/>
                <w:kern w:val="0"/>
                <w:sz w:val="18"/>
                <w:szCs w:val="18"/>
              </w:rPr>
            </w:pPr>
            <w:r>
              <w:rPr>
                <w:rFonts w:hint="eastAsia" w:ascii="宋体" w:hAnsi="宋体" w:cs="宋体"/>
                <w:snapToGrid w:val="0"/>
                <w:kern w:val="0"/>
                <w:sz w:val="18"/>
                <w:szCs w:val="18"/>
              </w:rPr>
              <w:t>减：现金等价物的年初余额</w:t>
            </w:r>
          </w:p>
        </w:tc>
        <w:tc>
          <w:tcPr>
            <w:tcW w:w="1879" w:type="dxa"/>
            <w:vAlign w:val="center"/>
          </w:tcPr>
          <w:p>
            <w:pPr>
              <w:jc w:val="right"/>
              <w:rPr>
                <w:rFonts w:ascii="Arial" w:hAnsi="Arial" w:cs="Arial"/>
                <w:snapToGrid w:val="0"/>
                <w:kern w:val="0"/>
                <w:sz w:val="18"/>
                <w:szCs w:val="18"/>
              </w:rPr>
            </w:pPr>
          </w:p>
        </w:tc>
        <w:tc>
          <w:tcPr>
            <w:tcW w:w="1878" w:type="dxa"/>
            <w:vAlign w:val="center"/>
          </w:tcPr>
          <w:p>
            <w:pPr>
              <w:widowControl/>
              <w:jc w:val="right"/>
              <w:textAlignment w:val="center"/>
              <w:rPr>
                <w:rFonts w:ascii="Arial" w:hAnsi="Arial" w:cs="Arial"/>
                <w:snapToGrid w:val="0"/>
                <w:kern w:val="0"/>
                <w:sz w:val="18"/>
                <w:szCs w:val="18"/>
              </w:rPr>
            </w:pPr>
            <w:r>
              <w:rPr>
                <w:rFonts w:ascii="Arial" w:hAnsi="Arial" w:cs="Arial"/>
                <w:color w:val="000000"/>
                <w:kern w:val="0"/>
                <w:sz w:val="18"/>
                <w:szCs w:val="18"/>
                <w:lang w:bidi="ar"/>
              </w:rPr>
              <w:t xml:space="preserve"> 　 </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825" w:type="dxa"/>
            <w:tcBorders>
              <w:bottom w:val="single" w:color="auto" w:sz="12" w:space="0"/>
            </w:tcBorders>
            <w:vAlign w:val="center"/>
          </w:tcPr>
          <w:p>
            <w:pPr>
              <w:snapToGrid w:val="0"/>
              <w:rPr>
                <w:rFonts w:ascii="宋体"/>
                <w:snapToGrid w:val="0"/>
                <w:kern w:val="0"/>
                <w:sz w:val="18"/>
                <w:szCs w:val="18"/>
              </w:rPr>
            </w:pPr>
            <w:r>
              <w:rPr>
                <w:rFonts w:hint="eastAsia" w:ascii="宋体" w:hAnsi="宋体" w:cs="宋体"/>
                <w:snapToGrid w:val="0"/>
                <w:kern w:val="0"/>
                <w:sz w:val="18"/>
                <w:szCs w:val="18"/>
              </w:rPr>
              <w:t>现金及现金等价物净增加额</w:t>
            </w:r>
          </w:p>
        </w:tc>
        <w:tc>
          <w:tcPr>
            <w:tcW w:w="1879" w:type="dxa"/>
            <w:tcBorders>
              <w:bottom w:val="single" w:color="auto" w:sz="12" w:space="0"/>
            </w:tcBorders>
            <w:vAlign w:val="center"/>
          </w:tcPr>
          <w:p>
            <w:pPr>
              <w:widowControl/>
              <w:jc w:val="right"/>
              <w:textAlignment w:val="center"/>
              <w:rPr>
                <w:rFonts w:ascii="Arial" w:hAnsi="Arial" w:cs="Arial"/>
                <w:snapToGrid w:val="0"/>
                <w:kern w:val="0"/>
                <w:sz w:val="18"/>
                <w:szCs w:val="18"/>
              </w:rPr>
            </w:pPr>
            <w:r>
              <w:rPr>
                <w:rFonts w:ascii="Arial" w:hAnsi="Arial" w:cs="Arial"/>
                <w:color w:val="000000"/>
                <w:kern w:val="0"/>
                <w:sz w:val="18"/>
                <w:szCs w:val="18"/>
                <w:lang w:bidi="ar"/>
              </w:rPr>
              <w:t xml:space="preserve"> 172,017.45 </w:t>
            </w:r>
          </w:p>
        </w:tc>
        <w:tc>
          <w:tcPr>
            <w:tcW w:w="1878" w:type="dxa"/>
            <w:tcBorders>
              <w:bottom w:val="single" w:color="auto" w:sz="12" w:space="0"/>
            </w:tcBorders>
            <w:vAlign w:val="center"/>
          </w:tcPr>
          <w:p>
            <w:pPr>
              <w:widowControl/>
              <w:jc w:val="right"/>
              <w:textAlignment w:val="center"/>
              <w:rPr>
                <w:rFonts w:ascii="Arial" w:hAnsi="Arial" w:cs="Arial"/>
                <w:snapToGrid w:val="0"/>
                <w:kern w:val="0"/>
                <w:sz w:val="18"/>
                <w:szCs w:val="18"/>
              </w:rPr>
            </w:pPr>
            <w:r>
              <w:rPr>
                <w:rFonts w:ascii="Arial" w:hAnsi="Arial" w:cs="Arial"/>
                <w:color w:val="000000"/>
                <w:kern w:val="0"/>
                <w:sz w:val="18"/>
                <w:szCs w:val="18"/>
                <w:lang w:bidi="ar"/>
              </w:rPr>
              <w:t xml:space="preserve"> -429,838.07 </w:t>
            </w:r>
          </w:p>
        </w:tc>
      </w:tr>
    </w:tbl>
    <w:p>
      <w:pPr>
        <w:spacing w:after="156" w:afterLines="50" w:line="460" w:lineRule="atLeast"/>
        <w:ind w:left="525"/>
        <w:rPr>
          <w:rFonts w:ascii="宋体" w:hAnsi="宋体"/>
        </w:rPr>
      </w:pPr>
      <w:r>
        <w:rPr>
          <w:rFonts w:hint="eastAsia" w:ascii="宋体" w:hAnsi="宋体"/>
        </w:rPr>
        <w:t>2、现金及现金等价物</w:t>
      </w:r>
    </w:p>
    <w:tbl>
      <w:tblPr>
        <w:tblStyle w:val="31"/>
        <w:tblW w:w="8331" w:type="dxa"/>
        <w:jc w:val="center"/>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4733"/>
        <w:gridCol w:w="1843"/>
        <w:gridCol w:w="1755"/>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blHeader/>
          <w:jc w:val="center"/>
        </w:trPr>
        <w:tc>
          <w:tcPr>
            <w:tcW w:w="4733" w:type="dxa"/>
            <w:tcBorders>
              <w:top w:val="single" w:color="auto" w:sz="12" w:space="0"/>
            </w:tcBorders>
            <w:vAlign w:val="center"/>
          </w:tcPr>
          <w:p>
            <w:pPr>
              <w:snapToGrid w:val="0"/>
              <w:jc w:val="center"/>
              <w:rPr>
                <w:rFonts w:ascii="宋体" w:hAnsi="宋体" w:cs="Arial Narrow"/>
                <w:snapToGrid w:val="0"/>
                <w:kern w:val="0"/>
                <w:sz w:val="18"/>
                <w:szCs w:val="18"/>
              </w:rPr>
            </w:pPr>
            <w:r>
              <w:rPr>
                <w:rFonts w:hint="eastAsia" w:ascii="宋体" w:hAnsi="宋体" w:cs="Arial Narrow"/>
                <w:snapToGrid w:val="0"/>
                <w:kern w:val="0"/>
                <w:sz w:val="18"/>
                <w:szCs w:val="18"/>
              </w:rPr>
              <w:t>项</w:t>
            </w:r>
            <w:r>
              <w:rPr>
                <w:rFonts w:ascii="宋体" w:hAnsi="宋体" w:cs="Arial Narrow"/>
                <w:snapToGrid w:val="0"/>
                <w:kern w:val="0"/>
                <w:sz w:val="18"/>
                <w:szCs w:val="18"/>
              </w:rPr>
              <w:t xml:space="preserve">    </w:t>
            </w:r>
            <w:r>
              <w:rPr>
                <w:rFonts w:hint="eastAsia" w:ascii="宋体" w:hAnsi="宋体" w:cs="Arial Narrow"/>
                <w:snapToGrid w:val="0"/>
                <w:kern w:val="0"/>
                <w:sz w:val="18"/>
                <w:szCs w:val="18"/>
              </w:rPr>
              <w:t>目</w:t>
            </w:r>
          </w:p>
        </w:tc>
        <w:tc>
          <w:tcPr>
            <w:tcW w:w="1843" w:type="dxa"/>
            <w:tcBorders>
              <w:top w:val="single" w:color="auto" w:sz="12" w:space="0"/>
            </w:tcBorders>
            <w:vAlign w:val="center"/>
          </w:tcPr>
          <w:p>
            <w:pPr>
              <w:snapToGrid w:val="0"/>
              <w:jc w:val="center"/>
              <w:rPr>
                <w:rFonts w:ascii="宋体" w:hAnsi="宋体" w:cs="Arial Narrow"/>
                <w:snapToGrid w:val="0"/>
                <w:kern w:val="0"/>
                <w:sz w:val="18"/>
                <w:szCs w:val="18"/>
              </w:rPr>
            </w:pPr>
            <w:r>
              <w:rPr>
                <w:rFonts w:hint="eastAsia" w:ascii="宋体" w:hAnsi="宋体" w:cs="Arial Narrow"/>
                <w:snapToGrid w:val="0"/>
                <w:kern w:val="0"/>
                <w:sz w:val="18"/>
                <w:szCs w:val="18"/>
              </w:rPr>
              <w:t>期末余额</w:t>
            </w:r>
          </w:p>
        </w:tc>
        <w:tc>
          <w:tcPr>
            <w:tcW w:w="1755" w:type="dxa"/>
            <w:tcBorders>
              <w:top w:val="single" w:color="auto" w:sz="12" w:space="0"/>
            </w:tcBorders>
            <w:vAlign w:val="center"/>
          </w:tcPr>
          <w:p>
            <w:pPr>
              <w:snapToGrid w:val="0"/>
              <w:jc w:val="center"/>
              <w:rPr>
                <w:rFonts w:ascii="宋体" w:hAnsi="宋体" w:cs="Arial Narrow"/>
                <w:snapToGrid w:val="0"/>
                <w:kern w:val="0"/>
                <w:sz w:val="18"/>
                <w:szCs w:val="18"/>
              </w:rPr>
            </w:pPr>
            <w:r>
              <w:rPr>
                <w:rFonts w:hint="eastAsia" w:ascii="宋体" w:hAnsi="宋体" w:cs="Arial Narrow"/>
                <w:snapToGrid w:val="0"/>
                <w:kern w:val="0"/>
                <w:sz w:val="18"/>
                <w:szCs w:val="18"/>
              </w:rPr>
              <w:t>期初余额</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733" w:type="dxa"/>
            <w:vAlign w:val="center"/>
          </w:tcPr>
          <w:p>
            <w:pPr>
              <w:snapToGrid w:val="0"/>
              <w:rPr>
                <w:rFonts w:ascii="宋体" w:hAnsi="宋体" w:cs="Arial Narrow"/>
                <w:snapToGrid w:val="0"/>
                <w:kern w:val="0"/>
                <w:sz w:val="18"/>
                <w:szCs w:val="18"/>
              </w:rPr>
            </w:pPr>
            <w:r>
              <w:rPr>
                <w:rFonts w:hint="eastAsia" w:ascii="宋体" w:hAnsi="宋体" w:cs="Arial Narrow"/>
                <w:snapToGrid w:val="0"/>
                <w:kern w:val="0"/>
                <w:sz w:val="18"/>
                <w:szCs w:val="18"/>
              </w:rPr>
              <w:t>一、现金</w:t>
            </w:r>
          </w:p>
        </w:tc>
        <w:tc>
          <w:tcPr>
            <w:tcW w:w="1843" w:type="dxa"/>
            <w:vAlign w:val="center"/>
          </w:tcPr>
          <w:p>
            <w:pPr>
              <w:widowControl/>
              <w:jc w:val="left"/>
              <w:textAlignment w:val="center"/>
              <w:rPr>
                <w:rFonts w:ascii="Arial Narrow" w:hAnsi="Arial Narrow" w:cs="Arial Narrow"/>
                <w:snapToGrid w:val="0"/>
                <w:sz w:val="18"/>
                <w:szCs w:val="18"/>
              </w:rPr>
            </w:pPr>
            <w:r>
              <w:rPr>
                <w:rFonts w:ascii="Arial" w:hAnsi="Arial" w:cs="Arial"/>
                <w:color w:val="000000"/>
                <w:kern w:val="0"/>
                <w:sz w:val="18"/>
                <w:szCs w:val="18"/>
                <w:lang w:bidi="ar"/>
              </w:rPr>
              <w:t>1,691,433.82</w:t>
            </w:r>
          </w:p>
        </w:tc>
        <w:tc>
          <w:tcPr>
            <w:tcW w:w="1755" w:type="dxa"/>
            <w:vAlign w:val="center"/>
          </w:tcPr>
          <w:p>
            <w:pPr>
              <w:widowControl/>
              <w:jc w:val="left"/>
              <w:textAlignment w:val="center"/>
              <w:rPr>
                <w:rFonts w:ascii="Arial Narrow" w:hAnsi="Arial Narrow" w:cs="宋体"/>
                <w:sz w:val="18"/>
                <w:szCs w:val="18"/>
              </w:rPr>
            </w:pPr>
            <w:r>
              <w:rPr>
                <w:rFonts w:ascii="Arial" w:hAnsi="Arial" w:cs="Arial"/>
                <w:color w:val="000000"/>
                <w:kern w:val="0"/>
                <w:sz w:val="18"/>
                <w:szCs w:val="18"/>
                <w:lang w:bidi="ar"/>
              </w:rPr>
              <w:t>1,519,416.37</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733" w:type="dxa"/>
            <w:vAlign w:val="center"/>
          </w:tcPr>
          <w:p>
            <w:pPr>
              <w:snapToGrid w:val="0"/>
              <w:rPr>
                <w:rFonts w:ascii="宋体" w:hAnsi="宋体" w:cs="Arial Narrow"/>
                <w:snapToGrid w:val="0"/>
                <w:kern w:val="0"/>
                <w:sz w:val="18"/>
                <w:szCs w:val="18"/>
              </w:rPr>
            </w:pPr>
            <w:r>
              <w:rPr>
                <w:rFonts w:hint="eastAsia" w:ascii="宋体" w:hAnsi="宋体" w:cs="Arial Narrow"/>
                <w:snapToGrid w:val="0"/>
                <w:kern w:val="0"/>
                <w:sz w:val="18"/>
                <w:szCs w:val="18"/>
              </w:rPr>
              <w:t>其中：库存现金</w:t>
            </w:r>
          </w:p>
        </w:tc>
        <w:tc>
          <w:tcPr>
            <w:tcW w:w="1843" w:type="dxa"/>
            <w:vAlign w:val="center"/>
          </w:tcPr>
          <w:p>
            <w:pPr>
              <w:widowControl/>
              <w:ind w:firstLine="540" w:firstLineChars="300"/>
              <w:jc w:val="left"/>
              <w:textAlignment w:val="center"/>
              <w:rPr>
                <w:rFonts w:ascii="Arial Narrow" w:hAnsi="Arial Narrow"/>
                <w:sz w:val="18"/>
                <w:szCs w:val="18"/>
              </w:rPr>
            </w:pPr>
            <w:r>
              <w:rPr>
                <w:rFonts w:ascii="Arial" w:hAnsi="Arial" w:cs="Arial"/>
                <w:color w:val="000000"/>
                <w:kern w:val="0"/>
                <w:sz w:val="18"/>
                <w:szCs w:val="18"/>
                <w:lang w:bidi="ar"/>
              </w:rPr>
              <w:t>633.99</w:t>
            </w:r>
          </w:p>
        </w:tc>
        <w:tc>
          <w:tcPr>
            <w:tcW w:w="1755" w:type="dxa"/>
            <w:vAlign w:val="center"/>
          </w:tcPr>
          <w:p>
            <w:pPr>
              <w:widowControl/>
              <w:ind w:firstLine="360" w:firstLineChars="200"/>
              <w:jc w:val="left"/>
              <w:textAlignment w:val="center"/>
              <w:rPr>
                <w:rFonts w:ascii="Arial Narrow" w:hAnsi="Arial Narrow" w:cs="宋体"/>
                <w:color w:val="000000"/>
                <w:sz w:val="18"/>
                <w:szCs w:val="18"/>
              </w:rPr>
            </w:pPr>
            <w:r>
              <w:rPr>
                <w:rFonts w:ascii="Arial" w:hAnsi="Arial" w:cs="Arial"/>
                <w:color w:val="000000"/>
                <w:kern w:val="0"/>
                <w:sz w:val="18"/>
                <w:szCs w:val="18"/>
                <w:lang w:bidi="ar"/>
              </w:rPr>
              <w:t>2,004.09</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733" w:type="dxa"/>
            <w:vAlign w:val="center"/>
          </w:tcPr>
          <w:p>
            <w:pPr>
              <w:snapToGrid w:val="0"/>
              <w:rPr>
                <w:rFonts w:ascii="宋体" w:hAnsi="宋体" w:cs="Arial Narrow"/>
                <w:snapToGrid w:val="0"/>
                <w:kern w:val="0"/>
                <w:sz w:val="18"/>
                <w:szCs w:val="18"/>
              </w:rPr>
            </w:pPr>
            <w:r>
              <w:rPr>
                <w:rFonts w:hint="eastAsia" w:ascii="宋体" w:hAnsi="宋体" w:cs="Arial Narrow"/>
                <w:snapToGrid w:val="0"/>
                <w:kern w:val="0"/>
                <w:sz w:val="18"/>
                <w:szCs w:val="18"/>
              </w:rPr>
              <w:t>可随时用于支付的银行存款</w:t>
            </w:r>
          </w:p>
        </w:tc>
        <w:tc>
          <w:tcPr>
            <w:tcW w:w="1843" w:type="dxa"/>
            <w:vAlign w:val="center"/>
          </w:tcPr>
          <w:p>
            <w:pPr>
              <w:widowControl/>
              <w:jc w:val="left"/>
              <w:textAlignment w:val="center"/>
              <w:rPr>
                <w:rFonts w:ascii="Arial Narrow" w:hAnsi="Arial Narrow"/>
                <w:sz w:val="18"/>
                <w:szCs w:val="18"/>
              </w:rPr>
            </w:pPr>
            <w:r>
              <w:rPr>
                <w:rFonts w:ascii="Arial" w:hAnsi="Arial" w:cs="Arial"/>
                <w:color w:val="000000"/>
                <w:kern w:val="0"/>
                <w:sz w:val="18"/>
                <w:szCs w:val="18"/>
                <w:lang w:bidi="ar"/>
              </w:rPr>
              <w:t>1,690,799.83</w:t>
            </w:r>
          </w:p>
        </w:tc>
        <w:tc>
          <w:tcPr>
            <w:tcW w:w="1755" w:type="dxa"/>
            <w:vAlign w:val="center"/>
          </w:tcPr>
          <w:p>
            <w:pPr>
              <w:widowControl/>
              <w:jc w:val="left"/>
              <w:textAlignment w:val="center"/>
              <w:rPr>
                <w:rFonts w:ascii="Arial Narrow" w:hAnsi="Arial Narrow" w:cs="宋体"/>
                <w:color w:val="000000"/>
                <w:sz w:val="18"/>
                <w:szCs w:val="18"/>
              </w:rPr>
            </w:pPr>
            <w:r>
              <w:rPr>
                <w:rFonts w:ascii="Arial" w:hAnsi="Arial" w:cs="Arial"/>
                <w:color w:val="000000"/>
                <w:kern w:val="0"/>
                <w:sz w:val="18"/>
                <w:szCs w:val="18"/>
                <w:lang w:bidi="ar"/>
              </w:rPr>
              <w:t>1,517,412.28</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733" w:type="dxa"/>
            <w:vAlign w:val="center"/>
          </w:tcPr>
          <w:p>
            <w:pPr>
              <w:snapToGrid w:val="0"/>
              <w:rPr>
                <w:rFonts w:ascii="宋体" w:hAnsi="宋体" w:cs="Arial Narrow"/>
                <w:snapToGrid w:val="0"/>
                <w:kern w:val="0"/>
                <w:sz w:val="18"/>
                <w:szCs w:val="18"/>
              </w:rPr>
            </w:pPr>
            <w:r>
              <w:rPr>
                <w:rFonts w:hint="eastAsia" w:ascii="宋体" w:hAnsi="宋体" w:cs="Arial Narrow"/>
                <w:snapToGrid w:val="0"/>
                <w:kern w:val="0"/>
                <w:sz w:val="18"/>
                <w:szCs w:val="18"/>
              </w:rPr>
              <w:t>二、现金等价物</w:t>
            </w:r>
          </w:p>
        </w:tc>
        <w:tc>
          <w:tcPr>
            <w:tcW w:w="1843" w:type="dxa"/>
            <w:vAlign w:val="center"/>
          </w:tcPr>
          <w:p>
            <w:pPr>
              <w:pStyle w:val="55"/>
              <w:autoSpaceDE/>
              <w:autoSpaceDN/>
              <w:adjustRightInd/>
              <w:snapToGrid w:val="0"/>
              <w:jc w:val="right"/>
              <w:rPr>
                <w:rFonts w:ascii="Arial Narrow" w:hAnsi="Arial Narrow" w:eastAsia="宋体" w:cs="Arial Narrow"/>
                <w:snapToGrid w:val="0"/>
                <w:color w:val="auto"/>
                <w:sz w:val="18"/>
                <w:szCs w:val="18"/>
              </w:rPr>
            </w:pPr>
          </w:p>
        </w:tc>
        <w:tc>
          <w:tcPr>
            <w:tcW w:w="1755" w:type="dxa"/>
            <w:vAlign w:val="center"/>
          </w:tcPr>
          <w:p>
            <w:pPr>
              <w:pStyle w:val="55"/>
              <w:autoSpaceDE/>
              <w:autoSpaceDN/>
              <w:adjustRightInd/>
              <w:snapToGrid w:val="0"/>
              <w:jc w:val="right"/>
              <w:rPr>
                <w:rFonts w:ascii="Arial Narrow" w:hAnsi="Arial Narrow" w:eastAsia="宋体" w:cs="Arial Narrow"/>
                <w:snapToGrid w:val="0"/>
                <w:color w:val="auto"/>
                <w:sz w:val="18"/>
                <w:szCs w:val="18"/>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733" w:type="dxa"/>
            <w:vAlign w:val="center"/>
          </w:tcPr>
          <w:p>
            <w:pPr>
              <w:snapToGrid w:val="0"/>
              <w:rPr>
                <w:rFonts w:ascii="宋体" w:hAnsi="宋体" w:cs="Arial Narrow"/>
                <w:snapToGrid w:val="0"/>
                <w:kern w:val="0"/>
                <w:sz w:val="18"/>
                <w:szCs w:val="18"/>
              </w:rPr>
            </w:pPr>
            <w:r>
              <w:rPr>
                <w:rFonts w:hint="eastAsia" w:ascii="宋体" w:hAnsi="宋体" w:cs="Arial Narrow"/>
                <w:snapToGrid w:val="0"/>
                <w:kern w:val="0"/>
                <w:sz w:val="18"/>
                <w:szCs w:val="18"/>
              </w:rPr>
              <w:t>三、期末现金及现金等价物余额</w:t>
            </w:r>
          </w:p>
        </w:tc>
        <w:tc>
          <w:tcPr>
            <w:tcW w:w="1843" w:type="dxa"/>
            <w:vAlign w:val="center"/>
          </w:tcPr>
          <w:p>
            <w:pPr>
              <w:widowControl/>
              <w:jc w:val="left"/>
              <w:textAlignment w:val="center"/>
              <w:rPr>
                <w:rFonts w:ascii="Arial Narrow" w:hAnsi="Arial Narrow" w:cs="Arial Narrow"/>
                <w:snapToGrid w:val="0"/>
                <w:sz w:val="18"/>
                <w:szCs w:val="18"/>
              </w:rPr>
            </w:pPr>
            <w:r>
              <w:rPr>
                <w:rFonts w:ascii="Arial" w:hAnsi="Arial" w:cs="Arial"/>
                <w:color w:val="000000"/>
                <w:kern w:val="0"/>
                <w:sz w:val="18"/>
                <w:szCs w:val="18"/>
                <w:lang w:bidi="ar"/>
              </w:rPr>
              <w:t>1,691,433.82</w:t>
            </w:r>
          </w:p>
        </w:tc>
        <w:tc>
          <w:tcPr>
            <w:tcW w:w="1755" w:type="dxa"/>
            <w:vAlign w:val="center"/>
          </w:tcPr>
          <w:p>
            <w:pPr>
              <w:widowControl/>
              <w:jc w:val="left"/>
              <w:textAlignment w:val="center"/>
              <w:rPr>
                <w:rFonts w:ascii="Arial Narrow" w:hAnsi="Arial Narrow" w:cs="Arial Narrow"/>
                <w:snapToGrid w:val="0"/>
                <w:sz w:val="18"/>
                <w:szCs w:val="18"/>
              </w:rPr>
            </w:pPr>
            <w:r>
              <w:rPr>
                <w:rFonts w:ascii="Arial" w:hAnsi="Arial" w:cs="Arial"/>
                <w:color w:val="000000"/>
                <w:kern w:val="0"/>
                <w:sz w:val="18"/>
                <w:szCs w:val="18"/>
                <w:lang w:bidi="ar"/>
              </w:rPr>
              <w:t>1,519,416.37</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733" w:type="dxa"/>
            <w:tcBorders>
              <w:bottom w:val="single" w:color="auto" w:sz="12" w:space="0"/>
            </w:tcBorders>
            <w:vAlign w:val="center"/>
          </w:tcPr>
          <w:p>
            <w:pPr>
              <w:snapToGrid w:val="0"/>
              <w:rPr>
                <w:rFonts w:ascii="宋体" w:hAnsi="宋体" w:cs="Arial Narrow"/>
                <w:snapToGrid w:val="0"/>
                <w:kern w:val="0"/>
                <w:sz w:val="18"/>
                <w:szCs w:val="18"/>
              </w:rPr>
            </w:pPr>
            <w:r>
              <w:rPr>
                <w:rFonts w:hint="eastAsia" w:ascii="宋体" w:hAnsi="宋体" w:cs="Arial Narrow"/>
                <w:snapToGrid w:val="0"/>
                <w:kern w:val="0"/>
                <w:sz w:val="18"/>
                <w:szCs w:val="18"/>
              </w:rPr>
              <w:t>其中：母公司或集团内子公司使用受限制的现金及现金等价物</w:t>
            </w:r>
          </w:p>
        </w:tc>
        <w:tc>
          <w:tcPr>
            <w:tcW w:w="1843" w:type="dxa"/>
            <w:tcBorders>
              <w:bottom w:val="single" w:color="auto" w:sz="12" w:space="0"/>
            </w:tcBorders>
            <w:vAlign w:val="center"/>
          </w:tcPr>
          <w:p>
            <w:pPr>
              <w:pStyle w:val="55"/>
              <w:autoSpaceDE/>
              <w:autoSpaceDN/>
              <w:adjustRightInd/>
              <w:snapToGrid w:val="0"/>
              <w:jc w:val="right"/>
              <w:rPr>
                <w:rFonts w:ascii="Arial Narrow" w:hAnsi="Arial Narrow" w:eastAsia="宋体" w:cs="Arial Narrow"/>
                <w:snapToGrid w:val="0"/>
                <w:color w:val="auto"/>
                <w:sz w:val="18"/>
                <w:szCs w:val="18"/>
              </w:rPr>
            </w:pPr>
          </w:p>
        </w:tc>
        <w:tc>
          <w:tcPr>
            <w:tcW w:w="1755" w:type="dxa"/>
            <w:tcBorders>
              <w:bottom w:val="single" w:color="auto" w:sz="12" w:space="0"/>
            </w:tcBorders>
            <w:vAlign w:val="center"/>
          </w:tcPr>
          <w:p>
            <w:pPr>
              <w:pStyle w:val="55"/>
              <w:autoSpaceDE/>
              <w:autoSpaceDN/>
              <w:adjustRightInd/>
              <w:snapToGrid w:val="0"/>
              <w:jc w:val="right"/>
              <w:rPr>
                <w:rFonts w:ascii="Arial Narrow" w:hAnsi="Arial Narrow" w:eastAsia="宋体" w:cs="Arial Narrow"/>
                <w:snapToGrid w:val="0"/>
                <w:color w:val="auto"/>
                <w:sz w:val="18"/>
                <w:szCs w:val="18"/>
              </w:rPr>
            </w:pPr>
          </w:p>
        </w:tc>
      </w:tr>
    </w:tbl>
    <w:p>
      <w:pPr>
        <w:pStyle w:val="15"/>
        <w:tabs>
          <w:tab w:val="left" w:pos="426"/>
          <w:tab w:val="left" w:pos="851"/>
          <w:tab w:val="left" w:pos="1134"/>
        </w:tabs>
        <w:snapToGrid w:val="0"/>
        <w:spacing w:after="156" w:afterLines="50" w:line="460" w:lineRule="atLeast"/>
        <w:outlineLvl w:val="1"/>
        <w:rPr>
          <w:rFonts w:hAnsi="宋体" w:cs="Times New Roman"/>
          <w:bCs/>
          <w:snapToGrid w:val="0"/>
          <w:kern w:val="0"/>
        </w:rPr>
      </w:pPr>
    </w:p>
    <w:bookmarkEnd w:id="3"/>
    <w:bookmarkEnd w:id="4"/>
    <w:bookmarkEnd w:id="5"/>
    <w:bookmarkEnd w:id="6"/>
    <w:bookmarkEnd w:id="7"/>
    <w:p>
      <w:pPr>
        <w:pStyle w:val="76"/>
        <w:numPr>
          <w:ilvl w:val="0"/>
          <w:numId w:val="3"/>
        </w:numPr>
        <w:tabs>
          <w:tab w:val="left" w:pos="993"/>
        </w:tabs>
        <w:snapToGrid w:val="0"/>
        <w:spacing w:line="460" w:lineRule="atLeast"/>
        <w:ind w:left="420" w:firstLineChars="0"/>
        <w:outlineLvl w:val="0"/>
        <w:rPr>
          <w:rStyle w:val="45"/>
          <w:rFonts w:ascii="黑体" w:hAnsi="宋体" w:eastAsia="黑体"/>
          <w:bCs/>
          <w:snapToGrid w:val="0"/>
          <w:kern w:val="0"/>
          <w:sz w:val="24"/>
          <w:szCs w:val="24"/>
        </w:rPr>
      </w:pPr>
      <w:r>
        <w:rPr>
          <w:rStyle w:val="45"/>
          <w:rFonts w:hint="eastAsia" w:ascii="黑体" w:hAnsi="宋体" w:eastAsia="黑体"/>
          <w:bCs/>
          <w:snapToGrid w:val="0"/>
          <w:kern w:val="0"/>
          <w:sz w:val="24"/>
          <w:szCs w:val="24"/>
        </w:rPr>
        <w:t>关联方关系及其交易</w:t>
      </w:r>
    </w:p>
    <w:p>
      <w:pPr>
        <w:pStyle w:val="76"/>
        <w:numPr>
          <w:ilvl w:val="0"/>
          <w:numId w:val="10"/>
        </w:numPr>
        <w:tabs>
          <w:tab w:val="right" w:pos="567"/>
          <w:tab w:val="left" w:pos="851"/>
        </w:tabs>
        <w:adjustRightInd w:val="0"/>
        <w:snapToGrid w:val="0"/>
        <w:spacing w:line="460" w:lineRule="atLeast"/>
        <w:ind w:left="0" w:firstLine="424" w:firstLineChars="202"/>
        <w:outlineLvl w:val="1"/>
        <w:rPr>
          <w:rFonts w:ascii="宋体" w:hAnsi="宋体"/>
          <w:snapToGrid w:val="0"/>
          <w:kern w:val="0"/>
        </w:rPr>
      </w:pPr>
      <w:r>
        <w:rPr>
          <w:rFonts w:hint="eastAsia" w:ascii="宋体" w:hAnsi="宋体"/>
        </w:rPr>
        <w:t>关联</w:t>
      </w:r>
      <w:r>
        <w:rPr>
          <w:rFonts w:ascii="宋体" w:hAnsi="宋体"/>
        </w:rPr>
        <w:t>方关系</w:t>
      </w:r>
    </w:p>
    <w:p>
      <w:pPr>
        <w:pStyle w:val="76"/>
        <w:numPr>
          <w:ilvl w:val="0"/>
          <w:numId w:val="11"/>
        </w:numPr>
        <w:tabs>
          <w:tab w:val="right" w:pos="567"/>
          <w:tab w:val="left" w:pos="851"/>
        </w:tabs>
        <w:adjustRightInd w:val="0"/>
        <w:snapToGrid w:val="0"/>
        <w:spacing w:line="460" w:lineRule="atLeast"/>
        <w:ind w:firstLineChars="0"/>
        <w:outlineLvl w:val="1"/>
        <w:rPr>
          <w:rFonts w:ascii="宋体" w:hAnsi="宋体"/>
          <w:snapToGrid w:val="0"/>
          <w:kern w:val="0"/>
        </w:rPr>
      </w:pPr>
      <w:r>
        <w:rPr>
          <w:rFonts w:hint="eastAsia" w:ascii="宋体" w:hAnsi="宋体"/>
          <w:snapToGrid w:val="0"/>
          <w:kern w:val="0"/>
        </w:rPr>
        <w:t>母</w:t>
      </w:r>
      <w:r>
        <w:rPr>
          <w:rFonts w:ascii="宋体" w:hAnsi="宋体"/>
          <w:snapToGrid w:val="0"/>
          <w:kern w:val="0"/>
        </w:rPr>
        <w:t>公司基本情况</w:t>
      </w:r>
    </w:p>
    <w:tbl>
      <w:tblPr>
        <w:tblStyle w:val="31"/>
        <w:tblW w:w="7960" w:type="dxa"/>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631"/>
        <w:gridCol w:w="1129"/>
        <w:gridCol w:w="870"/>
        <w:gridCol w:w="555"/>
        <w:gridCol w:w="782"/>
        <w:gridCol w:w="703"/>
        <w:gridCol w:w="659"/>
        <w:gridCol w:w="614"/>
        <w:gridCol w:w="1017"/>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blHeader/>
        </w:trPr>
        <w:tc>
          <w:tcPr>
            <w:tcW w:w="1631" w:type="dxa"/>
            <w:tcBorders>
              <w:top w:val="single" w:color="auto" w:sz="12" w:space="0"/>
            </w:tcBorders>
            <w:vAlign w:val="center"/>
          </w:tcPr>
          <w:p>
            <w:pPr>
              <w:adjustRightInd w:val="0"/>
              <w:snapToGrid w:val="0"/>
              <w:jc w:val="center"/>
              <w:rPr>
                <w:rFonts w:ascii="宋体" w:cs="Arial Narrow"/>
                <w:snapToGrid w:val="0"/>
                <w:kern w:val="0"/>
                <w:sz w:val="18"/>
                <w:szCs w:val="18"/>
              </w:rPr>
            </w:pPr>
            <w:r>
              <w:rPr>
                <w:rFonts w:hint="eastAsia" w:ascii="宋体" w:hAnsi="宋体" w:cs="宋体"/>
                <w:snapToGrid w:val="0"/>
                <w:kern w:val="0"/>
                <w:sz w:val="18"/>
                <w:szCs w:val="18"/>
              </w:rPr>
              <w:t>母公司名称</w:t>
            </w:r>
          </w:p>
        </w:tc>
        <w:tc>
          <w:tcPr>
            <w:tcW w:w="1129" w:type="dxa"/>
            <w:tcBorders>
              <w:top w:val="single" w:color="auto" w:sz="12" w:space="0"/>
            </w:tcBorders>
            <w:vAlign w:val="center"/>
          </w:tcPr>
          <w:p>
            <w:pPr>
              <w:adjustRightInd w:val="0"/>
              <w:snapToGrid w:val="0"/>
              <w:jc w:val="center"/>
              <w:rPr>
                <w:rFonts w:ascii="宋体" w:cs="Arial Narrow"/>
                <w:snapToGrid w:val="0"/>
                <w:kern w:val="0"/>
                <w:sz w:val="18"/>
                <w:szCs w:val="18"/>
              </w:rPr>
            </w:pPr>
            <w:r>
              <w:rPr>
                <w:rFonts w:hint="eastAsia" w:ascii="宋体" w:hAnsi="宋体" w:cs="宋体"/>
                <w:snapToGrid w:val="0"/>
                <w:kern w:val="0"/>
                <w:sz w:val="18"/>
                <w:szCs w:val="18"/>
              </w:rPr>
              <w:t>企业类型</w:t>
            </w:r>
          </w:p>
        </w:tc>
        <w:tc>
          <w:tcPr>
            <w:tcW w:w="870" w:type="dxa"/>
            <w:tcBorders>
              <w:top w:val="single" w:color="auto" w:sz="12" w:space="0"/>
            </w:tcBorders>
            <w:vAlign w:val="center"/>
          </w:tcPr>
          <w:p>
            <w:pPr>
              <w:adjustRightInd w:val="0"/>
              <w:snapToGrid w:val="0"/>
              <w:jc w:val="center"/>
              <w:rPr>
                <w:rFonts w:ascii="宋体" w:cs="Arial Narrow"/>
                <w:snapToGrid w:val="0"/>
                <w:kern w:val="0"/>
                <w:sz w:val="18"/>
                <w:szCs w:val="18"/>
              </w:rPr>
            </w:pPr>
            <w:r>
              <w:rPr>
                <w:rFonts w:hint="eastAsia" w:ascii="宋体" w:hAnsi="宋体" w:cs="宋体"/>
                <w:snapToGrid w:val="0"/>
                <w:kern w:val="0"/>
                <w:sz w:val="18"/>
                <w:szCs w:val="18"/>
              </w:rPr>
              <w:t>注册地</w:t>
            </w:r>
          </w:p>
        </w:tc>
        <w:tc>
          <w:tcPr>
            <w:tcW w:w="555" w:type="dxa"/>
            <w:tcBorders>
              <w:top w:val="single" w:color="auto" w:sz="12" w:space="0"/>
            </w:tcBorders>
            <w:vAlign w:val="center"/>
          </w:tcPr>
          <w:p>
            <w:pPr>
              <w:adjustRightInd w:val="0"/>
              <w:snapToGrid w:val="0"/>
              <w:jc w:val="center"/>
              <w:rPr>
                <w:rFonts w:ascii="宋体" w:cs="Arial Narrow"/>
                <w:snapToGrid w:val="0"/>
                <w:kern w:val="0"/>
                <w:sz w:val="18"/>
                <w:szCs w:val="18"/>
              </w:rPr>
            </w:pPr>
            <w:r>
              <w:rPr>
                <w:rFonts w:hint="eastAsia" w:ascii="宋体" w:hAnsi="宋体" w:cs="宋体"/>
                <w:snapToGrid w:val="0"/>
                <w:kern w:val="0"/>
                <w:sz w:val="18"/>
                <w:szCs w:val="18"/>
              </w:rPr>
              <w:t>法人代表</w:t>
            </w:r>
          </w:p>
        </w:tc>
        <w:tc>
          <w:tcPr>
            <w:tcW w:w="782" w:type="dxa"/>
            <w:tcBorders>
              <w:top w:val="single" w:color="auto" w:sz="12" w:space="0"/>
            </w:tcBorders>
            <w:vAlign w:val="center"/>
          </w:tcPr>
          <w:p>
            <w:pPr>
              <w:adjustRightInd w:val="0"/>
              <w:snapToGrid w:val="0"/>
              <w:jc w:val="center"/>
              <w:rPr>
                <w:rFonts w:ascii="宋体" w:cs="Arial Narrow"/>
                <w:snapToGrid w:val="0"/>
                <w:kern w:val="0"/>
                <w:sz w:val="18"/>
                <w:szCs w:val="18"/>
              </w:rPr>
            </w:pPr>
            <w:r>
              <w:rPr>
                <w:rFonts w:hint="eastAsia" w:ascii="宋体" w:hAnsi="宋体" w:cs="宋体"/>
                <w:snapToGrid w:val="0"/>
                <w:kern w:val="0"/>
                <w:sz w:val="18"/>
                <w:szCs w:val="18"/>
              </w:rPr>
              <w:t>业务性质</w:t>
            </w:r>
          </w:p>
        </w:tc>
        <w:tc>
          <w:tcPr>
            <w:tcW w:w="703" w:type="dxa"/>
            <w:tcBorders>
              <w:top w:val="single" w:color="auto" w:sz="12" w:space="0"/>
            </w:tcBorders>
            <w:vAlign w:val="center"/>
          </w:tcPr>
          <w:p>
            <w:pPr>
              <w:adjustRightInd w:val="0"/>
              <w:snapToGrid w:val="0"/>
              <w:jc w:val="center"/>
              <w:rPr>
                <w:rFonts w:ascii="宋体" w:cs="Arial Narrow"/>
                <w:snapToGrid w:val="0"/>
                <w:kern w:val="0"/>
                <w:sz w:val="18"/>
                <w:szCs w:val="18"/>
              </w:rPr>
            </w:pPr>
            <w:r>
              <w:rPr>
                <w:rFonts w:hint="eastAsia" w:ascii="宋体" w:hAnsi="宋体" w:cs="宋体"/>
                <w:snapToGrid w:val="0"/>
                <w:kern w:val="0"/>
                <w:sz w:val="18"/>
                <w:szCs w:val="18"/>
              </w:rPr>
              <w:t>注册资本</w:t>
            </w:r>
          </w:p>
        </w:tc>
        <w:tc>
          <w:tcPr>
            <w:tcW w:w="659" w:type="dxa"/>
            <w:tcBorders>
              <w:top w:val="single" w:color="auto" w:sz="12" w:space="0"/>
            </w:tcBorders>
            <w:vAlign w:val="center"/>
          </w:tcPr>
          <w:p>
            <w:pPr>
              <w:adjustRightInd w:val="0"/>
              <w:snapToGrid w:val="0"/>
              <w:jc w:val="center"/>
              <w:rPr>
                <w:rFonts w:ascii="宋体" w:cs="Arial Narrow"/>
                <w:snapToGrid w:val="0"/>
                <w:kern w:val="0"/>
                <w:sz w:val="18"/>
                <w:szCs w:val="18"/>
              </w:rPr>
            </w:pPr>
            <w:r>
              <w:rPr>
                <w:rFonts w:hint="eastAsia" w:ascii="宋体" w:hAnsi="宋体" w:cs="宋体"/>
                <w:snapToGrid w:val="0"/>
                <w:kern w:val="0"/>
                <w:sz w:val="18"/>
                <w:szCs w:val="18"/>
              </w:rPr>
              <w:t>持股比例</w:t>
            </w:r>
            <w:r>
              <w:rPr>
                <w:rFonts w:ascii="宋体" w:hAnsi="宋体" w:cs="Arial Narrow"/>
                <w:snapToGrid w:val="0"/>
                <w:kern w:val="0"/>
                <w:sz w:val="18"/>
                <w:szCs w:val="18"/>
              </w:rPr>
              <w:t>(%)</w:t>
            </w:r>
          </w:p>
        </w:tc>
        <w:tc>
          <w:tcPr>
            <w:tcW w:w="614" w:type="dxa"/>
            <w:tcBorders>
              <w:top w:val="single" w:color="auto" w:sz="12" w:space="0"/>
            </w:tcBorders>
            <w:vAlign w:val="center"/>
          </w:tcPr>
          <w:p>
            <w:pPr>
              <w:adjustRightInd w:val="0"/>
              <w:snapToGrid w:val="0"/>
              <w:jc w:val="center"/>
              <w:rPr>
                <w:rFonts w:ascii="宋体" w:cs="Arial Narrow"/>
                <w:snapToGrid w:val="0"/>
                <w:kern w:val="0"/>
                <w:sz w:val="18"/>
                <w:szCs w:val="18"/>
              </w:rPr>
            </w:pPr>
            <w:r>
              <w:rPr>
                <w:rFonts w:hint="eastAsia" w:ascii="宋体" w:hAnsi="宋体" w:cs="宋体"/>
                <w:snapToGrid w:val="0"/>
                <w:kern w:val="0"/>
                <w:sz w:val="18"/>
                <w:szCs w:val="18"/>
              </w:rPr>
              <w:t>表决权比例</w:t>
            </w:r>
            <w:r>
              <w:rPr>
                <w:rFonts w:ascii="宋体" w:hAnsi="宋体" w:cs="Arial Narrow"/>
                <w:snapToGrid w:val="0"/>
                <w:kern w:val="0"/>
                <w:sz w:val="18"/>
                <w:szCs w:val="18"/>
              </w:rPr>
              <w:t>(%)</w:t>
            </w:r>
          </w:p>
        </w:tc>
        <w:tc>
          <w:tcPr>
            <w:tcW w:w="1017" w:type="dxa"/>
            <w:tcBorders>
              <w:top w:val="single" w:color="auto" w:sz="12" w:space="0"/>
            </w:tcBorders>
            <w:vAlign w:val="center"/>
          </w:tcPr>
          <w:p>
            <w:pPr>
              <w:adjustRightInd w:val="0"/>
              <w:snapToGrid w:val="0"/>
              <w:jc w:val="center"/>
              <w:rPr>
                <w:rFonts w:ascii="宋体" w:cs="Arial Narrow"/>
                <w:snapToGrid w:val="0"/>
                <w:kern w:val="0"/>
                <w:sz w:val="18"/>
                <w:szCs w:val="18"/>
              </w:rPr>
            </w:pPr>
            <w:r>
              <w:rPr>
                <w:rFonts w:hint="eastAsia" w:ascii="Arial Narrow" w:cs="宋体"/>
                <w:snapToGrid w:val="0"/>
                <w:kern w:val="0"/>
                <w:sz w:val="18"/>
                <w:szCs w:val="18"/>
              </w:rPr>
              <w:t>社会</w:t>
            </w:r>
            <w:r>
              <w:rPr>
                <w:rFonts w:ascii="Arial Narrow" w:cs="宋体"/>
                <w:snapToGrid w:val="0"/>
                <w:kern w:val="0"/>
                <w:sz w:val="18"/>
                <w:szCs w:val="18"/>
              </w:rPr>
              <w:t>统一信用代码</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631" w:type="dxa"/>
            <w:vAlign w:val="center"/>
          </w:tcPr>
          <w:p>
            <w:pPr>
              <w:adjustRightInd w:val="0"/>
              <w:snapToGrid w:val="0"/>
              <w:rPr>
                <w:rFonts w:ascii="宋体" w:cs="Arial Narrow"/>
                <w:snapToGrid w:val="0"/>
                <w:kern w:val="0"/>
                <w:sz w:val="18"/>
                <w:szCs w:val="18"/>
              </w:rPr>
            </w:pPr>
            <w:r>
              <w:rPr>
                <w:rFonts w:hint="eastAsia" w:ascii="宋体" w:cs="Arial Narrow"/>
                <w:snapToGrid w:val="0"/>
                <w:kern w:val="0"/>
                <w:sz w:val="18"/>
                <w:szCs w:val="18"/>
              </w:rPr>
              <w:t>湖南金鹰之声传媒有限责任公司</w:t>
            </w:r>
          </w:p>
        </w:tc>
        <w:tc>
          <w:tcPr>
            <w:tcW w:w="1129" w:type="dxa"/>
            <w:vAlign w:val="center"/>
          </w:tcPr>
          <w:p>
            <w:pPr>
              <w:adjustRightInd w:val="0"/>
              <w:snapToGrid w:val="0"/>
              <w:rPr>
                <w:rFonts w:ascii="宋体" w:cs="Arial Narrow"/>
                <w:snapToGrid w:val="0"/>
                <w:kern w:val="0"/>
                <w:sz w:val="18"/>
                <w:szCs w:val="18"/>
              </w:rPr>
            </w:pPr>
            <w:r>
              <w:rPr>
                <w:rFonts w:hint="eastAsia" w:ascii="宋体" w:cs="Arial Narrow"/>
                <w:snapToGrid w:val="0"/>
                <w:kern w:val="0"/>
                <w:sz w:val="18"/>
                <w:szCs w:val="18"/>
              </w:rPr>
              <w:t>其他有限责任公司</w:t>
            </w:r>
          </w:p>
        </w:tc>
        <w:tc>
          <w:tcPr>
            <w:tcW w:w="870" w:type="dxa"/>
            <w:vAlign w:val="center"/>
          </w:tcPr>
          <w:p>
            <w:pPr>
              <w:adjustRightInd w:val="0"/>
              <w:snapToGrid w:val="0"/>
              <w:rPr>
                <w:rFonts w:ascii="宋体" w:cs="Arial Narrow"/>
                <w:bCs/>
                <w:snapToGrid w:val="0"/>
                <w:kern w:val="0"/>
                <w:sz w:val="18"/>
                <w:szCs w:val="18"/>
              </w:rPr>
            </w:pPr>
            <w:r>
              <w:rPr>
                <w:rFonts w:hint="eastAsia" w:ascii="宋体" w:cs="Arial Narrow"/>
                <w:bCs/>
                <w:snapToGrid w:val="0"/>
                <w:kern w:val="0"/>
                <w:sz w:val="18"/>
                <w:szCs w:val="18"/>
              </w:rPr>
              <w:t>湖南</w:t>
            </w:r>
          </w:p>
        </w:tc>
        <w:tc>
          <w:tcPr>
            <w:tcW w:w="555" w:type="dxa"/>
            <w:vAlign w:val="center"/>
          </w:tcPr>
          <w:p>
            <w:pPr>
              <w:adjustRightInd w:val="0"/>
              <w:snapToGrid w:val="0"/>
              <w:rPr>
                <w:rFonts w:ascii="宋体" w:cs="Arial Narrow"/>
                <w:snapToGrid w:val="0"/>
                <w:kern w:val="0"/>
                <w:sz w:val="18"/>
                <w:szCs w:val="18"/>
              </w:rPr>
            </w:pPr>
            <w:r>
              <w:rPr>
                <w:rFonts w:hint="eastAsia" w:ascii="宋体" w:cs="Arial Narrow"/>
                <w:snapToGrid w:val="0"/>
                <w:kern w:val="0"/>
                <w:sz w:val="18"/>
                <w:szCs w:val="18"/>
              </w:rPr>
              <w:t>龙小平</w:t>
            </w:r>
          </w:p>
        </w:tc>
        <w:tc>
          <w:tcPr>
            <w:tcW w:w="782" w:type="dxa"/>
            <w:vAlign w:val="center"/>
          </w:tcPr>
          <w:p>
            <w:pPr>
              <w:adjustRightInd w:val="0"/>
              <w:snapToGrid w:val="0"/>
              <w:rPr>
                <w:rFonts w:ascii="宋体" w:cs="Arial Narrow"/>
                <w:snapToGrid w:val="0"/>
                <w:kern w:val="0"/>
                <w:sz w:val="18"/>
                <w:szCs w:val="18"/>
              </w:rPr>
            </w:pPr>
            <w:r>
              <w:rPr>
                <w:rFonts w:hint="eastAsia" w:ascii="宋体" w:cs="Arial Narrow"/>
                <w:snapToGrid w:val="0"/>
                <w:kern w:val="0"/>
                <w:sz w:val="18"/>
                <w:szCs w:val="18"/>
              </w:rPr>
              <w:t>广告制作、经营、代理</w:t>
            </w:r>
          </w:p>
        </w:tc>
        <w:tc>
          <w:tcPr>
            <w:tcW w:w="703" w:type="dxa"/>
            <w:vAlign w:val="center"/>
          </w:tcPr>
          <w:p>
            <w:pPr>
              <w:adjustRightInd w:val="0"/>
              <w:snapToGrid w:val="0"/>
              <w:jc w:val="right"/>
              <w:rPr>
                <w:rFonts w:ascii="宋体" w:cs="Arial Narrow"/>
                <w:snapToGrid w:val="0"/>
                <w:kern w:val="0"/>
                <w:sz w:val="18"/>
                <w:szCs w:val="18"/>
              </w:rPr>
            </w:pPr>
            <w:r>
              <w:rPr>
                <w:rFonts w:hint="eastAsia" w:ascii="宋体" w:cs="Arial Narrow"/>
                <w:snapToGrid w:val="0"/>
                <w:kern w:val="0"/>
                <w:sz w:val="18"/>
                <w:szCs w:val="18"/>
              </w:rPr>
              <w:t>400万元</w:t>
            </w:r>
          </w:p>
        </w:tc>
        <w:tc>
          <w:tcPr>
            <w:tcW w:w="659" w:type="dxa"/>
            <w:vAlign w:val="center"/>
          </w:tcPr>
          <w:p>
            <w:pPr>
              <w:adjustRightInd w:val="0"/>
              <w:snapToGrid w:val="0"/>
              <w:jc w:val="center"/>
              <w:rPr>
                <w:rFonts w:ascii="宋体" w:cs="Arial Narrow"/>
                <w:snapToGrid w:val="0"/>
                <w:kern w:val="0"/>
                <w:sz w:val="18"/>
                <w:szCs w:val="18"/>
              </w:rPr>
            </w:pPr>
            <w:r>
              <w:rPr>
                <w:rFonts w:hint="eastAsia" w:ascii="宋体" w:cs="Arial Narrow"/>
                <w:snapToGrid w:val="0"/>
                <w:kern w:val="0"/>
                <w:sz w:val="18"/>
                <w:szCs w:val="18"/>
              </w:rPr>
              <w:t>100%</w:t>
            </w:r>
          </w:p>
        </w:tc>
        <w:tc>
          <w:tcPr>
            <w:tcW w:w="614" w:type="dxa"/>
            <w:vAlign w:val="center"/>
          </w:tcPr>
          <w:p>
            <w:pPr>
              <w:adjustRightInd w:val="0"/>
              <w:snapToGrid w:val="0"/>
              <w:jc w:val="center"/>
              <w:rPr>
                <w:rFonts w:ascii="宋体" w:cs="Arial Narrow"/>
                <w:snapToGrid w:val="0"/>
                <w:kern w:val="0"/>
                <w:sz w:val="18"/>
                <w:szCs w:val="18"/>
              </w:rPr>
            </w:pPr>
            <w:r>
              <w:rPr>
                <w:rFonts w:hint="eastAsia" w:ascii="宋体" w:cs="Arial Narrow"/>
                <w:snapToGrid w:val="0"/>
                <w:kern w:val="0"/>
                <w:sz w:val="18"/>
                <w:szCs w:val="18"/>
              </w:rPr>
              <w:t>100%</w:t>
            </w:r>
          </w:p>
        </w:tc>
        <w:tc>
          <w:tcPr>
            <w:tcW w:w="1017" w:type="dxa"/>
            <w:vAlign w:val="center"/>
          </w:tcPr>
          <w:p>
            <w:pPr>
              <w:adjustRightInd w:val="0"/>
              <w:snapToGrid w:val="0"/>
              <w:rPr>
                <w:rFonts w:ascii="宋体" w:cs="Arial Narrow"/>
                <w:snapToGrid w:val="0"/>
                <w:kern w:val="0"/>
                <w:sz w:val="18"/>
                <w:szCs w:val="18"/>
              </w:rPr>
            </w:pPr>
            <w:r>
              <w:rPr>
                <w:rFonts w:hint="eastAsia" w:ascii="宋体" w:cs="Arial Narrow"/>
                <w:snapToGrid w:val="0"/>
                <w:kern w:val="0"/>
                <w:sz w:val="18"/>
                <w:szCs w:val="18"/>
              </w:rPr>
              <w:t>914300007680269107</w:t>
            </w:r>
          </w:p>
        </w:tc>
      </w:tr>
    </w:tbl>
    <w:p>
      <w:pPr>
        <w:tabs>
          <w:tab w:val="right" w:pos="7740"/>
        </w:tabs>
        <w:adjustRightInd w:val="0"/>
        <w:snapToGrid w:val="0"/>
        <w:spacing w:line="460" w:lineRule="atLeast"/>
        <w:ind w:firstLine="420" w:firstLineChars="200"/>
        <w:outlineLvl w:val="1"/>
        <w:rPr>
          <w:rFonts w:ascii="宋体"/>
          <w:snapToGrid w:val="0"/>
          <w:kern w:val="0"/>
        </w:rPr>
      </w:pPr>
      <w:r>
        <w:rPr>
          <w:rFonts w:hint="eastAsia" w:ascii="宋体"/>
          <w:snapToGrid w:val="0"/>
          <w:kern w:val="0"/>
        </w:rPr>
        <w:t>2、本企业的其他关联方情况</w:t>
      </w:r>
    </w:p>
    <w:tbl>
      <w:tblPr>
        <w:tblStyle w:val="31"/>
        <w:tblW w:w="8720" w:type="dxa"/>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3702"/>
        <w:gridCol w:w="2515"/>
        <w:gridCol w:w="2503"/>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57" w:hRule="atLeast"/>
          <w:tblHeader/>
        </w:trPr>
        <w:tc>
          <w:tcPr>
            <w:tcW w:w="3702" w:type="dxa"/>
            <w:tcBorders>
              <w:top w:val="single" w:color="auto" w:sz="12" w:space="0"/>
            </w:tcBorders>
            <w:vAlign w:val="center"/>
          </w:tcPr>
          <w:p>
            <w:pPr>
              <w:snapToGrid w:val="0"/>
              <w:spacing w:line="360" w:lineRule="atLeast"/>
              <w:jc w:val="center"/>
              <w:rPr>
                <w:rFonts w:ascii="Arial Narrow" w:hAnsi="Arial Narrow" w:cs="Arial Narrow"/>
                <w:snapToGrid w:val="0"/>
                <w:kern w:val="0"/>
                <w:sz w:val="18"/>
                <w:szCs w:val="18"/>
              </w:rPr>
            </w:pPr>
            <w:r>
              <w:rPr>
                <w:rFonts w:hint="eastAsia" w:ascii="Arial Narrow" w:cs="宋体"/>
                <w:snapToGrid w:val="0"/>
                <w:kern w:val="0"/>
                <w:sz w:val="18"/>
                <w:szCs w:val="18"/>
              </w:rPr>
              <w:t>其他关联方名称</w:t>
            </w:r>
          </w:p>
        </w:tc>
        <w:tc>
          <w:tcPr>
            <w:tcW w:w="2515" w:type="dxa"/>
            <w:tcBorders>
              <w:top w:val="single" w:color="auto" w:sz="12" w:space="0"/>
            </w:tcBorders>
            <w:vAlign w:val="center"/>
          </w:tcPr>
          <w:p>
            <w:pPr>
              <w:snapToGrid w:val="0"/>
              <w:spacing w:line="360" w:lineRule="atLeast"/>
              <w:jc w:val="center"/>
              <w:rPr>
                <w:rFonts w:ascii="Arial Narrow" w:hAnsi="Arial Narrow" w:cs="Arial Narrow"/>
                <w:snapToGrid w:val="0"/>
                <w:kern w:val="0"/>
                <w:sz w:val="18"/>
                <w:szCs w:val="18"/>
              </w:rPr>
            </w:pPr>
            <w:r>
              <w:rPr>
                <w:rFonts w:hint="eastAsia" w:ascii="Arial Narrow" w:cs="宋体"/>
                <w:snapToGrid w:val="0"/>
                <w:kern w:val="0"/>
                <w:sz w:val="18"/>
                <w:szCs w:val="18"/>
              </w:rPr>
              <w:t>其他关联方与本公司关系</w:t>
            </w:r>
          </w:p>
        </w:tc>
        <w:tc>
          <w:tcPr>
            <w:tcW w:w="2503" w:type="dxa"/>
            <w:tcBorders>
              <w:top w:val="single" w:color="auto" w:sz="12" w:space="0"/>
            </w:tcBorders>
            <w:vAlign w:val="center"/>
          </w:tcPr>
          <w:p>
            <w:pPr>
              <w:snapToGrid w:val="0"/>
              <w:spacing w:line="360" w:lineRule="atLeast"/>
              <w:rPr>
                <w:rFonts w:ascii="Arial Narrow" w:hAnsi="Arial Narrow" w:cs="Arial Narrow"/>
                <w:snapToGrid w:val="0"/>
                <w:kern w:val="0"/>
                <w:sz w:val="18"/>
                <w:szCs w:val="18"/>
              </w:rPr>
            </w:pPr>
            <w:r>
              <w:rPr>
                <w:rFonts w:hint="eastAsia" w:ascii="Arial Narrow" w:cs="宋体"/>
                <w:snapToGrid w:val="0"/>
                <w:kern w:val="0"/>
                <w:sz w:val="18"/>
                <w:szCs w:val="18"/>
              </w:rPr>
              <w:t>社会</w:t>
            </w:r>
            <w:r>
              <w:rPr>
                <w:rFonts w:ascii="Arial Narrow" w:cs="宋体"/>
                <w:snapToGrid w:val="0"/>
                <w:kern w:val="0"/>
                <w:sz w:val="18"/>
                <w:szCs w:val="18"/>
              </w:rPr>
              <w:t>统一信用代码</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trPr>
        <w:tc>
          <w:tcPr>
            <w:tcW w:w="3702" w:type="dxa"/>
            <w:vAlign w:val="center"/>
          </w:tcPr>
          <w:p>
            <w:pPr>
              <w:adjustRightInd w:val="0"/>
              <w:snapToGrid w:val="0"/>
              <w:rPr>
                <w:rFonts w:ascii="宋体" w:cs="Arial Narrow"/>
                <w:snapToGrid w:val="0"/>
                <w:kern w:val="0"/>
                <w:sz w:val="18"/>
                <w:szCs w:val="18"/>
              </w:rPr>
            </w:pPr>
            <w:r>
              <w:rPr>
                <w:rFonts w:hint="eastAsia" w:ascii="宋体" w:cs="Arial Narrow"/>
                <w:snapToGrid w:val="0"/>
                <w:kern w:val="0"/>
                <w:sz w:val="18"/>
                <w:szCs w:val="18"/>
              </w:rPr>
              <w:t>上海翔赢广告有限责任公司</w:t>
            </w:r>
          </w:p>
        </w:tc>
        <w:tc>
          <w:tcPr>
            <w:tcW w:w="2515" w:type="dxa"/>
            <w:vAlign w:val="center"/>
          </w:tcPr>
          <w:p>
            <w:pPr>
              <w:snapToGrid w:val="0"/>
              <w:spacing w:line="360" w:lineRule="atLeast"/>
              <w:rPr>
                <w:rFonts w:ascii="Arial Narrow" w:hAnsi="Arial Narrow" w:cs="Arial Narrow"/>
                <w:snapToGrid w:val="0"/>
                <w:kern w:val="0"/>
                <w:sz w:val="18"/>
                <w:szCs w:val="18"/>
              </w:rPr>
            </w:pPr>
            <w:r>
              <w:rPr>
                <w:rFonts w:ascii="Arial Narrow" w:hAnsi="Arial Narrow" w:cs="Arial Narrow"/>
                <w:snapToGrid w:val="0"/>
                <w:kern w:val="0"/>
                <w:sz w:val="18"/>
                <w:szCs w:val="18"/>
              </w:rPr>
              <w:t>控制</w:t>
            </w:r>
            <w:r>
              <w:rPr>
                <w:rFonts w:ascii="宋体" w:cs="Arial Narrow"/>
                <w:snapToGrid w:val="0"/>
                <w:kern w:val="0"/>
                <w:sz w:val="18"/>
                <w:szCs w:val="18"/>
              </w:rPr>
              <w:t>人</w:t>
            </w:r>
            <w:r>
              <w:rPr>
                <w:rFonts w:hint="eastAsia" w:ascii="宋体" w:cs="Arial Narrow"/>
                <w:snapToGrid w:val="0"/>
                <w:kern w:val="0"/>
                <w:sz w:val="18"/>
                <w:szCs w:val="18"/>
              </w:rPr>
              <w:t>同</w:t>
            </w:r>
            <w:r>
              <w:rPr>
                <w:rFonts w:ascii="宋体" w:cs="Arial Narrow"/>
                <w:snapToGrid w:val="0"/>
                <w:kern w:val="0"/>
                <w:sz w:val="18"/>
                <w:szCs w:val="18"/>
              </w:rPr>
              <w:t>为</w:t>
            </w:r>
            <w:r>
              <w:rPr>
                <w:rFonts w:hint="eastAsia" w:ascii="宋体" w:cs="Arial Narrow"/>
                <w:snapToGrid w:val="0"/>
                <w:kern w:val="0"/>
                <w:sz w:val="18"/>
                <w:szCs w:val="18"/>
              </w:rPr>
              <w:t>湖南金鹰之声传媒有限责任公司</w:t>
            </w:r>
          </w:p>
        </w:tc>
        <w:tc>
          <w:tcPr>
            <w:tcW w:w="2503" w:type="dxa"/>
            <w:vAlign w:val="center"/>
          </w:tcPr>
          <w:p>
            <w:pPr>
              <w:snapToGrid w:val="0"/>
              <w:spacing w:line="360" w:lineRule="atLeast"/>
              <w:rPr>
                <w:rFonts w:ascii="Arial Narrow" w:hAnsi="Arial Narrow" w:cs="Arial Narrow"/>
                <w:snapToGrid w:val="0"/>
                <w:kern w:val="0"/>
                <w:sz w:val="18"/>
                <w:szCs w:val="18"/>
              </w:rPr>
            </w:pPr>
            <w:r>
              <w:rPr>
                <w:rFonts w:hint="eastAsia" w:ascii="宋体" w:cs="Arial Narrow"/>
                <w:snapToGrid w:val="0"/>
                <w:kern w:val="0"/>
                <w:sz w:val="18"/>
                <w:szCs w:val="18"/>
              </w:rPr>
              <w:t>91310106301338646H</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trPr>
        <w:tc>
          <w:tcPr>
            <w:tcW w:w="3702" w:type="dxa"/>
            <w:tcBorders>
              <w:bottom w:val="single" w:color="auto" w:sz="12" w:space="0"/>
            </w:tcBorders>
            <w:vAlign w:val="center"/>
          </w:tcPr>
          <w:p>
            <w:pPr>
              <w:adjustRightInd w:val="0"/>
              <w:snapToGrid w:val="0"/>
              <w:rPr>
                <w:rFonts w:ascii="宋体" w:cs="Arial Narrow"/>
                <w:snapToGrid w:val="0"/>
                <w:kern w:val="0"/>
                <w:sz w:val="18"/>
                <w:szCs w:val="18"/>
              </w:rPr>
            </w:pPr>
            <w:r>
              <w:rPr>
                <w:rFonts w:hint="eastAsia" w:hAnsi="宋体"/>
                <w:snapToGrid w:val="0"/>
                <w:kern w:val="0"/>
              </w:rPr>
              <w:t>湖南大眼仔传媒有限公司</w:t>
            </w:r>
          </w:p>
        </w:tc>
        <w:tc>
          <w:tcPr>
            <w:tcW w:w="2515" w:type="dxa"/>
            <w:tcBorders>
              <w:bottom w:val="single" w:color="auto" w:sz="12" w:space="0"/>
            </w:tcBorders>
            <w:vAlign w:val="center"/>
          </w:tcPr>
          <w:p>
            <w:pPr>
              <w:snapToGrid w:val="0"/>
              <w:spacing w:line="360" w:lineRule="atLeast"/>
              <w:rPr>
                <w:rFonts w:ascii="Arial Narrow" w:hAnsi="Arial Narrow" w:cs="Arial Narrow"/>
                <w:snapToGrid w:val="0"/>
                <w:kern w:val="0"/>
                <w:sz w:val="18"/>
                <w:szCs w:val="18"/>
              </w:rPr>
            </w:pPr>
            <w:r>
              <w:rPr>
                <w:rFonts w:ascii="Arial Narrow" w:hAnsi="Arial Narrow" w:cs="Arial Narrow"/>
                <w:snapToGrid w:val="0"/>
                <w:kern w:val="0"/>
                <w:sz w:val="18"/>
                <w:szCs w:val="18"/>
              </w:rPr>
              <w:t>控制</w:t>
            </w:r>
            <w:r>
              <w:rPr>
                <w:rFonts w:ascii="宋体" w:cs="Arial Narrow"/>
                <w:snapToGrid w:val="0"/>
                <w:kern w:val="0"/>
                <w:sz w:val="18"/>
                <w:szCs w:val="18"/>
              </w:rPr>
              <w:t>人</w:t>
            </w:r>
            <w:r>
              <w:rPr>
                <w:rFonts w:hint="eastAsia" w:ascii="宋体" w:cs="Arial Narrow"/>
                <w:snapToGrid w:val="0"/>
                <w:kern w:val="0"/>
                <w:sz w:val="18"/>
                <w:szCs w:val="18"/>
              </w:rPr>
              <w:t>同</w:t>
            </w:r>
            <w:r>
              <w:rPr>
                <w:rFonts w:ascii="宋体" w:cs="Arial Narrow"/>
                <w:snapToGrid w:val="0"/>
                <w:kern w:val="0"/>
                <w:sz w:val="18"/>
                <w:szCs w:val="18"/>
              </w:rPr>
              <w:t>为</w:t>
            </w:r>
            <w:r>
              <w:rPr>
                <w:rFonts w:hint="eastAsia" w:ascii="宋体" w:cs="Arial Narrow"/>
                <w:snapToGrid w:val="0"/>
                <w:kern w:val="0"/>
                <w:sz w:val="18"/>
                <w:szCs w:val="18"/>
              </w:rPr>
              <w:t>湖南金鹰之声传媒有限责任公司</w:t>
            </w:r>
          </w:p>
        </w:tc>
        <w:tc>
          <w:tcPr>
            <w:tcW w:w="2503" w:type="dxa"/>
            <w:tcBorders>
              <w:bottom w:val="single" w:color="auto" w:sz="12" w:space="0"/>
            </w:tcBorders>
            <w:vAlign w:val="center"/>
          </w:tcPr>
          <w:p>
            <w:pPr>
              <w:snapToGrid w:val="0"/>
              <w:spacing w:line="360" w:lineRule="atLeast"/>
              <w:rPr>
                <w:rFonts w:ascii="Arial Narrow" w:hAnsi="Arial Narrow" w:cs="Arial Narrow"/>
                <w:snapToGrid w:val="0"/>
                <w:kern w:val="0"/>
                <w:sz w:val="18"/>
                <w:szCs w:val="18"/>
              </w:rPr>
            </w:pPr>
            <w:r>
              <w:rPr>
                <w:rFonts w:hint="eastAsia" w:ascii="宋体" w:cs="Arial Narrow"/>
                <w:snapToGrid w:val="0"/>
                <w:kern w:val="0"/>
                <w:sz w:val="18"/>
                <w:szCs w:val="18"/>
              </w:rPr>
              <w:t>914301053256309673</w:t>
            </w:r>
          </w:p>
        </w:tc>
      </w:tr>
    </w:tbl>
    <w:p>
      <w:pPr>
        <w:tabs>
          <w:tab w:val="right" w:pos="7740"/>
        </w:tabs>
        <w:adjustRightInd w:val="0"/>
        <w:snapToGrid w:val="0"/>
        <w:spacing w:line="460" w:lineRule="atLeast"/>
        <w:ind w:firstLine="420" w:firstLineChars="200"/>
        <w:outlineLvl w:val="1"/>
        <w:rPr>
          <w:rFonts w:ascii="宋体"/>
          <w:snapToGrid w:val="0"/>
          <w:kern w:val="0"/>
        </w:rPr>
      </w:pPr>
      <w:r>
        <w:rPr>
          <w:rFonts w:hint="eastAsia" w:ascii="宋体"/>
          <w:snapToGrid w:val="0"/>
          <w:kern w:val="0"/>
        </w:rPr>
        <w:t>（二）关联方交易</w:t>
      </w:r>
    </w:p>
    <w:p>
      <w:pPr>
        <w:tabs>
          <w:tab w:val="right" w:pos="7740"/>
        </w:tabs>
        <w:adjustRightInd w:val="0"/>
        <w:snapToGrid w:val="0"/>
        <w:spacing w:line="460" w:lineRule="atLeast"/>
        <w:ind w:firstLine="315" w:firstLineChars="150"/>
        <w:outlineLvl w:val="1"/>
        <w:rPr>
          <w:rFonts w:ascii="宋体"/>
          <w:snapToGrid w:val="0"/>
          <w:kern w:val="0"/>
        </w:rPr>
      </w:pPr>
      <w:r>
        <w:rPr>
          <w:rFonts w:hint="eastAsia" w:ascii="宋体"/>
          <w:snapToGrid w:val="0"/>
          <w:kern w:val="0"/>
        </w:rPr>
        <w:t>1、关联方应收应付款项余额</w:t>
      </w:r>
      <w:r>
        <w:rPr>
          <w:rFonts w:ascii="宋体"/>
          <w:snapToGrid w:val="0"/>
          <w:kern w:val="0"/>
        </w:rPr>
        <w:t>情况</w:t>
      </w:r>
    </w:p>
    <w:tbl>
      <w:tblPr>
        <w:tblStyle w:val="31"/>
        <w:tblW w:w="8720" w:type="dxa"/>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093"/>
        <w:gridCol w:w="2126"/>
        <w:gridCol w:w="2126"/>
        <w:gridCol w:w="2375"/>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blHeader/>
        </w:trPr>
        <w:tc>
          <w:tcPr>
            <w:tcW w:w="2093" w:type="dxa"/>
            <w:tcBorders>
              <w:top w:val="single" w:color="auto" w:sz="12" w:space="0"/>
            </w:tcBorders>
            <w:vAlign w:val="center"/>
          </w:tcPr>
          <w:p>
            <w:pPr>
              <w:snapToGrid w:val="0"/>
              <w:jc w:val="center"/>
              <w:rPr>
                <w:rFonts w:ascii="宋体"/>
                <w:snapToGrid w:val="0"/>
                <w:kern w:val="0"/>
                <w:sz w:val="18"/>
                <w:szCs w:val="18"/>
              </w:rPr>
            </w:pPr>
            <w:r>
              <w:rPr>
                <w:rFonts w:hint="eastAsia" w:ascii="宋体" w:hAnsi="宋体" w:cs="宋体"/>
                <w:snapToGrid w:val="0"/>
                <w:kern w:val="0"/>
                <w:sz w:val="18"/>
                <w:szCs w:val="18"/>
              </w:rPr>
              <w:t>项目名称</w:t>
            </w:r>
          </w:p>
        </w:tc>
        <w:tc>
          <w:tcPr>
            <w:tcW w:w="2126" w:type="dxa"/>
            <w:tcBorders>
              <w:top w:val="single" w:color="auto" w:sz="12" w:space="0"/>
            </w:tcBorders>
            <w:vAlign w:val="center"/>
          </w:tcPr>
          <w:p>
            <w:pPr>
              <w:snapToGrid w:val="0"/>
              <w:jc w:val="center"/>
              <w:rPr>
                <w:rFonts w:ascii="Arial Narrow" w:hAnsi="Arial Narrow" w:cs="Arial Narrow"/>
                <w:snapToGrid w:val="0"/>
                <w:kern w:val="0"/>
                <w:sz w:val="18"/>
                <w:szCs w:val="18"/>
              </w:rPr>
            </w:pPr>
            <w:r>
              <w:rPr>
                <w:rFonts w:hint="eastAsia" w:ascii="Arial Narrow" w:cs="宋体"/>
                <w:snapToGrid w:val="0"/>
                <w:kern w:val="0"/>
                <w:sz w:val="18"/>
                <w:szCs w:val="18"/>
              </w:rPr>
              <w:t>关联方</w:t>
            </w:r>
          </w:p>
        </w:tc>
        <w:tc>
          <w:tcPr>
            <w:tcW w:w="2126" w:type="dxa"/>
            <w:tcBorders>
              <w:top w:val="single" w:color="auto" w:sz="12" w:space="0"/>
            </w:tcBorders>
            <w:vAlign w:val="bottom"/>
          </w:tcPr>
          <w:p>
            <w:pPr>
              <w:snapToGrid w:val="0"/>
              <w:jc w:val="center"/>
              <w:rPr>
                <w:rFonts w:ascii="Arial Narrow" w:cs="宋体"/>
                <w:snapToGrid w:val="0"/>
                <w:kern w:val="0"/>
                <w:sz w:val="18"/>
                <w:szCs w:val="18"/>
              </w:rPr>
            </w:pPr>
            <w:r>
              <w:rPr>
                <w:rFonts w:hint="eastAsia" w:ascii="Arial Narrow" w:cs="宋体"/>
                <w:snapToGrid w:val="0"/>
                <w:kern w:val="0"/>
                <w:sz w:val="18"/>
                <w:szCs w:val="18"/>
              </w:rPr>
              <w:t>期末余额</w:t>
            </w:r>
          </w:p>
        </w:tc>
        <w:tc>
          <w:tcPr>
            <w:tcW w:w="2375" w:type="dxa"/>
            <w:tcBorders>
              <w:top w:val="single" w:color="auto" w:sz="12" w:space="0"/>
            </w:tcBorders>
            <w:vAlign w:val="bottom"/>
          </w:tcPr>
          <w:p>
            <w:pPr>
              <w:snapToGrid w:val="0"/>
              <w:jc w:val="center"/>
              <w:rPr>
                <w:rFonts w:ascii="Arial Narrow" w:cs="宋体"/>
                <w:snapToGrid w:val="0"/>
                <w:kern w:val="0"/>
                <w:sz w:val="18"/>
                <w:szCs w:val="18"/>
              </w:rPr>
            </w:pPr>
            <w:r>
              <w:rPr>
                <w:rFonts w:hint="eastAsia" w:ascii="Arial Narrow" w:cs="宋体"/>
                <w:snapToGrid w:val="0"/>
                <w:kern w:val="0"/>
                <w:sz w:val="18"/>
                <w:szCs w:val="18"/>
              </w:rPr>
              <w:t>年初余额</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41" w:hRule="atLeast"/>
        </w:trPr>
        <w:tc>
          <w:tcPr>
            <w:tcW w:w="2093" w:type="dxa"/>
            <w:vAlign w:val="center"/>
          </w:tcPr>
          <w:p>
            <w:pPr>
              <w:snapToGrid w:val="0"/>
              <w:rPr>
                <w:rFonts w:ascii="宋体"/>
                <w:snapToGrid w:val="0"/>
                <w:kern w:val="0"/>
                <w:sz w:val="18"/>
                <w:szCs w:val="18"/>
              </w:rPr>
            </w:pPr>
            <w:r>
              <w:rPr>
                <w:rFonts w:hint="eastAsia" w:ascii="宋体"/>
                <w:snapToGrid w:val="0"/>
                <w:kern w:val="0"/>
                <w:sz w:val="18"/>
                <w:szCs w:val="18"/>
              </w:rPr>
              <w:t>其他应付款</w:t>
            </w:r>
          </w:p>
        </w:tc>
        <w:tc>
          <w:tcPr>
            <w:tcW w:w="2126" w:type="dxa"/>
            <w:vAlign w:val="center"/>
          </w:tcPr>
          <w:p>
            <w:pPr>
              <w:snapToGrid w:val="0"/>
              <w:rPr>
                <w:rFonts w:ascii="Arial Narrow" w:hAnsi="Arial Narrow" w:cs="Arial Narrow"/>
                <w:snapToGrid w:val="0"/>
                <w:kern w:val="0"/>
                <w:sz w:val="18"/>
                <w:szCs w:val="18"/>
              </w:rPr>
            </w:pPr>
            <w:r>
              <w:rPr>
                <w:rFonts w:hint="eastAsia" w:ascii="宋体" w:cs="Arial Narrow"/>
                <w:snapToGrid w:val="0"/>
                <w:kern w:val="0"/>
                <w:sz w:val="18"/>
                <w:szCs w:val="18"/>
              </w:rPr>
              <w:t>湖南金鹰之声传媒有限责任公司</w:t>
            </w:r>
          </w:p>
        </w:tc>
        <w:tc>
          <w:tcPr>
            <w:tcW w:w="2126" w:type="dxa"/>
            <w:vAlign w:val="center"/>
          </w:tcPr>
          <w:p>
            <w:pPr>
              <w:widowControl/>
              <w:jc w:val="left"/>
              <w:textAlignment w:val="center"/>
              <w:rPr>
                <w:rFonts w:ascii="Arial Narrow" w:hAnsi="Arial Narrow" w:eastAsia="Arial Narrow" w:cs="Arial Narrow"/>
                <w:color w:val="000000"/>
                <w:kern w:val="0"/>
                <w:sz w:val="20"/>
                <w:szCs w:val="20"/>
                <w:lang w:bidi="ar"/>
              </w:rPr>
            </w:pPr>
            <w:r>
              <w:rPr>
                <w:rFonts w:hint="eastAsia" w:ascii="Arial Narrow" w:hAnsi="Arial Narrow" w:eastAsia="Arial Narrow" w:cs="Arial Narrow"/>
                <w:color w:val="000000"/>
                <w:kern w:val="0"/>
                <w:sz w:val="20"/>
                <w:szCs w:val="20"/>
                <w:lang w:bidi="ar"/>
              </w:rPr>
              <w:t xml:space="preserve">2,050,000.00 </w:t>
            </w:r>
          </w:p>
        </w:tc>
        <w:tc>
          <w:tcPr>
            <w:tcW w:w="2375" w:type="dxa"/>
            <w:vAlign w:val="center"/>
          </w:tcPr>
          <w:p>
            <w:pPr>
              <w:widowControl/>
              <w:jc w:val="left"/>
              <w:textAlignment w:val="center"/>
              <w:rPr>
                <w:rFonts w:ascii="Arial Narrow" w:hAnsi="Arial Narrow" w:eastAsia="Arial Narrow" w:cs="Arial Narrow"/>
                <w:color w:val="000000"/>
                <w:kern w:val="0"/>
                <w:sz w:val="20"/>
                <w:szCs w:val="20"/>
                <w:lang w:bidi="ar"/>
              </w:rPr>
            </w:pPr>
            <w:r>
              <w:rPr>
                <w:rFonts w:hint="eastAsia" w:ascii="Arial Narrow" w:hAnsi="Arial Narrow" w:eastAsia="Arial Narrow" w:cs="Arial Narrow"/>
                <w:color w:val="000000"/>
                <w:kern w:val="0"/>
                <w:sz w:val="20"/>
                <w:szCs w:val="20"/>
                <w:lang w:bidi="ar"/>
              </w:rPr>
              <w:t>1,460,000.00</w:t>
            </w:r>
          </w:p>
        </w:tc>
      </w:tr>
    </w:tbl>
    <w:p>
      <w:pPr>
        <w:pStyle w:val="76"/>
        <w:snapToGrid w:val="0"/>
        <w:spacing w:line="460" w:lineRule="atLeast"/>
        <w:ind w:left="902" w:firstLine="0" w:firstLineChars="0"/>
        <w:rPr>
          <w:rStyle w:val="45"/>
          <w:rFonts w:ascii="黑体" w:hAnsi="宋体" w:eastAsia="黑体"/>
          <w:bCs/>
          <w:snapToGrid w:val="0"/>
          <w:kern w:val="0"/>
          <w:sz w:val="24"/>
          <w:szCs w:val="24"/>
        </w:rPr>
      </w:pPr>
    </w:p>
    <w:p>
      <w:pPr>
        <w:pStyle w:val="76"/>
        <w:numPr>
          <w:ilvl w:val="0"/>
          <w:numId w:val="3"/>
        </w:numPr>
        <w:snapToGrid w:val="0"/>
        <w:spacing w:line="460" w:lineRule="atLeast"/>
        <w:ind w:left="420" w:firstLineChars="0"/>
        <w:outlineLvl w:val="0"/>
        <w:rPr>
          <w:rStyle w:val="45"/>
          <w:rFonts w:ascii="黑体" w:hAnsi="宋体" w:eastAsia="黑体"/>
          <w:bCs/>
          <w:snapToGrid w:val="0"/>
          <w:kern w:val="0"/>
          <w:sz w:val="24"/>
          <w:szCs w:val="24"/>
        </w:rPr>
      </w:pPr>
      <w:r>
        <w:rPr>
          <w:rStyle w:val="45"/>
          <w:rFonts w:hint="eastAsia" w:ascii="黑体" w:hAnsi="宋体" w:eastAsia="黑体"/>
          <w:bCs/>
          <w:snapToGrid w:val="0"/>
          <w:kern w:val="0"/>
          <w:sz w:val="24"/>
          <w:szCs w:val="24"/>
        </w:rPr>
        <w:t>承诺及或有事项</w:t>
      </w:r>
    </w:p>
    <w:p>
      <w:pPr>
        <w:tabs>
          <w:tab w:val="right" w:pos="7740"/>
        </w:tabs>
        <w:adjustRightInd w:val="0"/>
        <w:snapToGrid w:val="0"/>
        <w:spacing w:line="460" w:lineRule="atLeast"/>
        <w:ind w:firstLine="420" w:firstLineChars="200"/>
        <w:rPr>
          <w:rFonts w:ascii="宋体" w:hAnsi="宋体" w:cs="宋体"/>
          <w:snapToGrid w:val="0"/>
          <w:color w:val="3333FF"/>
          <w:kern w:val="0"/>
        </w:rPr>
      </w:pPr>
      <w:r>
        <w:rPr>
          <w:rFonts w:hint="eastAsia" w:ascii="宋体" w:hAnsi="宋体" w:cs="宋体"/>
        </w:rPr>
        <w:t>（一）承诺事项</w:t>
      </w:r>
    </w:p>
    <w:p>
      <w:pPr>
        <w:tabs>
          <w:tab w:val="right" w:pos="7740"/>
        </w:tabs>
        <w:adjustRightInd w:val="0"/>
        <w:snapToGrid w:val="0"/>
        <w:spacing w:line="460" w:lineRule="atLeast"/>
        <w:ind w:firstLine="420" w:firstLineChars="200"/>
        <w:rPr>
          <w:rFonts w:ascii="宋体" w:hAnsi="宋体" w:cs="宋体"/>
          <w:snapToGrid w:val="0"/>
          <w:color w:val="3333FF"/>
          <w:kern w:val="0"/>
        </w:rPr>
      </w:pPr>
      <w:r>
        <w:rPr>
          <w:rFonts w:hint="eastAsia" w:ascii="宋体" w:hAnsi="宋体"/>
        </w:rPr>
        <w:t>截至资产负债表日，本公司不存在需要披露的重要承诺事项。</w:t>
      </w:r>
    </w:p>
    <w:p>
      <w:pPr>
        <w:tabs>
          <w:tab w:val="left" w:pos="1418"/>
          <w:tab w:val="right" w:pos="7740"/>
        </w:tabs>
        <w:adjustRightInd w:val="0"/>
        <w:snapToGrid w:val="0"/>
        <w:spacing w:line="460" w:lineRule="atLeast"/>
        <w:ind w:firstLine="420" w:firstLineChars="200"/>
        <w:rPr>
          <w:rFonts w:ascii="宋体" w:hAnsi="宋体" w:cs="宋体"/>
          <w:snapToGrid w:val="0"/>
          <w:color w:val="3333FF"/>
          <w:kern w:val="0"/>
        </w:rPr>
      </w:pPr>
      <w:bookmarkStart w:id="8" w:name="_Toc247371922"/>
      <w:r>
        <w:rPr>
          <w:rFonts w:hint="eastAsia" w:ascii="宋体" w:hAnsi="宋体" w:cs="宋体"/>
        </w:rPr>
        <w:t>（二）或有事项</w:t>
      </w:r>
      <w:bookmarkEnd w:id="8"/>
    </w:p>
    <w:p>
      <w:pPr>
        <w:tabs>
          <w:tab w:val="right" w:pos="7740"/>
        </w:tabs>
        <w:adjustRightInd w:val="0"/>
        <w:snapToGrid w:val="0"/>
        <w:spacing w:line="460" w:lineRule="atLeast"/>
        <w:ind w:firstLine="420" w:firstLineChars="200"/>
        <w:rPr>
          <w:rFonts w:ascii="宋体" w:hAnsi="宋体" w:cs="宋体"/>
          <w:color w:val="3333FF"/>
        </w:rPr>
      </w:pPr>
      <w:r>
        <w:rPr>
          <w:rFonts w:hint="eastAsia" w:ascii="宋体"/>
          <w:snapToGrid w:val="0"/>
        </w:rPr>
        <w:t>截止资产负债表日，本公司不存在需要披露的或有事项。</w:t>
      </w:r>
    </w:p>
    <w:p>
      <w:pPr>
        <w:pStyle w:val="76"/>
        <w:numPr>
          <w:ilvl w:val="0"/>
          <w:numId w:val="3"/>
        </w:numPr>
        <w:snapToGrid w:val="0"/>
        <w:spacing w:line="460" w:lineRule="atLeast"/>
        <w:ind w:left="993" w:hanging="513" w:firstLineChars="0"/>
        <w:outlineLvl w:val="0"/>
        <w:rPr>
          <w:rStyle w:val="45"/>
          <w:rFonts w:ascii="黑体" w:hAnsi="宋体" w:eastAsia="黑体"/>
          <w:bCs/>
          <w:snapToGrid w:val="0"/>
          <w:kern w:val="0"/>
          <w:sz w:val="24"/>
          <w:szCs w:val="24"/>
        </w:rPr>
      </w:pPr>
      <w:r>
        <w:rPr>
          <w:rStyle w:val="45"/>
          <w:rFonts w:hint="eastAsia" w:ascii="黑体" w:hAnsi="宋体" w:eastAsia="黑体"/>
          <w:bCs/>
          <w:snapToGrid w:val="0"/>
          <w:kern w:val="0"/>
          <w:sz w:val="24"/>
          <w:szCs w:val="24"/>
        </w:rPr>
        <w:t>资产负债表日后事项</w:t>
      </w:r>
    </w:p>
    <w:p>
      <w:pPr>
        <w:tabs>
          <w:tab w:val="right" w:pos="7740"/>
        </w:tabs>
        <w:adjustRightInd w:val="0"/>
        <w:snapToGrid w:val="0"/>
        <w:spacing w:line="460" w:lineRule="atLeast"/>
        <w:ind w:left="480"/>
        <w:rPr>
          <w:rFonts w:ascii="宋体" w:hAnsi="宋体" w:cs="宋体"/>
          <w:snapToGrid w:val="0"/>
          <w:kern w:val="0"/>
        </w:rPr>
      </w:pPr>
      <w:r>
        <w:rPr>
          <w:rFonts w:hint="eastAsia" w:ascii="宋体" w:hAnsi="宋体" w:cs="宋体"/>
          <w:snapToGrid w:val="0"/>
          <w:kern w:val="0"/>
        </w:rPr>
        <w:t>截止财务报告报出日，本公司不存在需要披露的资产负债表日后事项。</w:t>
      </w:r>
    </w:p>
    <w:p>
      <w:pPr>
        <w:snapToGrid w:val="0"/>
        <w:spacing w:line="460" w:lineRule="atLeast"/>
        <w:ind w:firstLine="480" w:firstLineChars="200"/>
        <w:outlineLvl w:val="0"/>
        <w:rPr>
          <w:rStyle w:val="45"/>
          <w:rFonts w:ascii="黑体" w:hAnsi="宋体" w:eastAsia="黑体"/>
          <w:bCs/>
          <w:snapToGrid w:val="0"/>
          <w:kern w:val="0"/>
          <w:sz w:val="24"/>
          <w:szCs w:val="24"/>
        </w:rPr>
      </w:pPr>
      <w:r>
        <w:rPr>
          <w:rStyle w:val="45"/>
          <w:rFonts w:hint="eastAsia" w:ascii="黑体" w:hAnsi="宋体" w:eastAsia="黑体"/>
          <w:bCs/>
          <w:snapToGrid w:val="0"/>
          <w:kern w:val="0"/>
          <w:sz w:val="24"/>
          <w:szCs w:val="24"/>
        </w:rPr>
        <w:t>九、财务报表的批准</w:t>
      </w:r>
    </w:p>
    <w:p>
      <w:pPr>
        <w:pStyle w:val="15"/>
        <w:snapToGrid w:val="0"/>
        <w:spacing w:line="460" w:lineRule="atLeast"/>
        <w:ind w:left="448"/>
        <w:textAlignment w:val="auto"/>
        <w:rPr>
          <w:rFonts w:hAnsi="宋体"/>
          <w:color w:val="0000FF"/>
          <w:kern w:val="0"/>
        </w:rPr>
      </w:pPr>
      <w:r>
        <w:rPr>
          <w:rFonts w:hint="eastAsia"/>
          <w:snapToGrid w:val="0"/>
          <w:kern w:val="0"/>
        </w:rPr>
        <w:t>本财务报表已于2018年 3 月9日经本公司管理层批准。</w:t>
      </w:r>
    </w:p>
    <w:p>
      <w:pPr>
        <w:pStyle w:val="15"/>
        <w:snapToGrid w:val="0"/>
        <w:spacing w:line="460" w:lineRule="atLeast"/>
        <w:ind w:left="448"/>
        <w:textAlignment w:val="auto"/>
        <w:rPr>
          <w:rFonts w:hAnsi="宋体"/>
          <w:color w:val="0000FF"/>
          <w:kern w:val="0"/>
        </w:rPr>
      </w:pPr>
    </w:p>
    <w:p>
      <w:pPr>
        <w:pStyle w:val="15"/>
        <w:snapToGrid w:val="0"/>
        <w:spacing w:line="460" w:lineRule="atLeast"/>
        <w:ind w:left="448"/>
        <w:textAlignment w:val="auto"/>
        <w:rPr>
          <w:rFonts w:hAnsi="宋体"/>
          <w:color w:val="0000FF"/>
          <w:kern w:val="0"/>
        </w:rPr>
      </w:pPr>
    </w:p>
    <w:p>
      <w:pPr>
        <w:pStyle w:val="15"/>
        <w:snapToGrid w:val="0"/>
        <w:spacing w:line="460" w:lineRule="atLeast"/>
        <w:ind w:left="448"/>
        <w:textAlignment w:val="auto"/>
        <w:rPr>
          <w:rFonts w:hAnsi="宋体"/>
          <w:color w:val="0000FF"/>
          <w:kern w:val="0"/>
        </w:rPr>
      </w:pPr>
    </w:p>
    <w:p>
      <w:pPr>
        <w:pStyle w:val="15"/>
        <w:snapToGrid w:val="0"/>
        <w:spacing w:line="460" w:lineRule="atLeast"/>
        <w:ind w:left="448"/>
        <w:textAlignment w:val="auto"/>
        <w:rPr>
          <w:rFonts w:hAnsi="宋体"/>
          <w:color w:val="0000FF"/>
          <w:kern w:val="0"/>
        </w:rPr>
      </w:pPr>
    </w:p>
    <w:p>
      <w:pPr>
        <w:pStyle w:val="15"/>
        <w:snapToGrid w:val="0"/>
        <w:spacing w:line="460" w:lineRule="atLeast"/>
        <w:ind w:right="315" w:firstLine="420" w:firstLineChars="200"/>
        <w:jc w:val="right"/>
        <w:textAlignment w:val="auto"/>
        <w:rPr>
          <w:rFonts w:hAnsi="宋体" w:cs="Times New Roman"/>
          <w:snapToGrid w:val="0"/>
          <w:color w:val="0000CC"/>
          <w:kern w:val="0"/>
        </w:rPr>
      </w:pPr>
    </w:p>
    <w:p>
      <w:pPr>
        <w:pStyle w:val="15"/>
        <w:snapToGrid w:val="0"/>
        <w:spacing w:line="460" w:lineRule="atLeast"/>
        <w:ind w:right="315" w:firstLine="420" w:firstLineChars="200"/>
        <w:jc w:val="right"/>
        <w:textAlignment w:val="auto"/>
        <w:rPr>
          <w:rFonts w:hAnsi="宋体" w:cs="Times New Roman"/>
          <w:bCs/>
          <w:snapToGrid w:val="0"/>
          <w:kern w:val="0"/>
        </w:rPr>
      </w:pPr>
      <w:r>
        <w:rPr>
          <w:rFonts w:hint="eastAsia" w:hAnsi="宋体"/>
          <w:bCs/>
          <w:snapToGrid w:val="0"/>
          <w:kern w:val="0"/>
        </w:rPr>
        <w:t>长沙大眼仔旅游文化有限责任公司</w:t>
      </w:r>
    </w:p>
    <w:p>
      <w:pPr>
        <w:pStyle w:val="24"/>
        <w:spacing w:before="0" w:beforeAutospacing="0" w:after="0" w:afterAutospacing="0" w:line="460" w:lineRule="atLeast"/>
        <w:ind w:right="315" w:firstLine="1155" w:firstLineChars="550"/>
        <w:jc w:val="right"/>
        <w:rPr>
          <w:rFonts w:cs="Times New Roman"/>
          <w:bCs/>
          <w:snapToGrid w:val="0"/>
        </w:rPr>
      </w:pPr>
      <w:r>
        <w:rPr>
          <w:rFonts w:hint="eastAsia"/>
          <w:snapToGrid w:val="0"/>
          <w:sz w:val="21"/>
          <w:szCs w:val="21"/>
        </w:rPr>
        <w:t>二○一八年三月九日</w:t>
      </w:r>
    </w:p>
    <w:p>
      <w:pPr>
        <w:pStyle w:val="15"/>
        <w:snapToGrid w:val="0"/>
        <w:spacing w:line="460" w:lineRule="atLeast"/>
        <w:ind w:firstLine="420" w:firstLineChars="200"/>
        <w:jc w:val="right"/>
        <w:textAlignment w:val="auto"/>
        <w:rPr>
          <w:rFonts w:hAnsi="宋体" w:cs="Times New Roman"/>
          <w:bCs/>
          <w:snapToGrid w:val="0"/>
          <w:kern w:val="0"/>
        </w:rPr>
      </w:pPr>
    </w:p>
    <w:p>
      <w:pPr>
        <w:pStyle w:val="15"/>
        <w:snapToGrid w:val="0"/>
        <w:spacing w:line="460" w:lineRule="atLeast"/>
        <w:ind w:firstLine="420" w:firstLineChars="200"/>
        <w:jc w:val="right"/>
        <w:textAlignment w:val="auto"/>
        <w:rPr>
          <w:rFonts w:hAnsi="宋体" w:cs="Times New Roman"/>
          <w:bCs/>
          <w:snapToGrid w:val="0"/>
          <w:kern w:val="0"/>
        </w:rPr>
      </w:pPr>
    </w:p>
    <w:p>
      <w:pPr>
        <w:pStyle w:val="15"/>
        <w:snapToGrid w:val="0"/>
        <w:spacing w:line="460" w:lineRule="atLeast"/>
        <w:ind w:firstLine="420" w:firstLineChars="200"/>
        <w:jc w:val="right"/>
        <w:textAlignment w:val="auto"/>
        <w:rPr>
          <w:rFonts w:hAnsi="宋体" w:cs="Times New Roman"/>
          <w:bCs/>
          <w:snapToGrid w:val="0"/>
          <w:kern w:val="0"/>
        </w:rPr>
      </w:pPr>
    </w:p>
    <w:p>
      <w:pPr>
        <w:pStyle w:val="15"/>
        <w:snapToGrid w:val="0"/>
        <w:spacing w:line="460" w:lineRule="atLeast"/>
        <w:ind w:firstLine="420" w:firstLineChars="200"/>
        <w:jc w:val="right"/>
        <w:textAlignment w:val="auto"/>
        <w:rPr>
          <w:rFonts w:hAnsi="宋体" w:cs="Times New Roman"/>
          <w:bCs/>
          <w:snapToGrid w:val="0"/>
          <w:kern w:val="0"/>
        </w:rPr>
      </w:pPr>
    </w:p>
    <w:p>
      <w:pPr>
        <w:pStyle w:val="15"/>
        <w:snapToGrid w:val="0"/>
        <w:spacing w:line="460" w:lineRule="atLeast"/>
        <w:textAlignment w:val="auto"/>
        <w:rPr>
          <w:rFonts w:hAnsi="宋体"/>
          <w:bCs/>
          <w:snapToGrid w:val="0"/>
          <w:kern w:val="0"/>
        </w:rPr>
      </w:pPr>
    </w:p>
    <w:p>
      <w:pPr>
        <w:pStyle w:val="15"/>
        <w:snapToGrid w:val="0"/>
        <w:spacing w:line="460" w:lineRule="atLeast"/>
        <w:textAlignment w:val="auto"/>
        <w:rPr>
          <w:rFonts w:hAnsi="宋体"/>
          <w:bCs/>
          <w:snapToGrid w:val="0"/>
          <w:kern w:val="0"/>
        </w:rPr>
      </w:pPr>
      <w:r>
        <w:rPr>
          <w:rFonts w:hint="eastAsia" w:hAnsi="宋体"/>
          <w:bCs/>
          <w:snapToGrid w:val="0"/>
          <w:kern w:val="0"/>
        </w:rPr>
        <w:t>第10页至第30页的财务报表附注由下列负责人签署</w:t>
      </w:r>
    </w:p>
    <w:tbl>
      <w:tblPr>
        <w:tblStyle w:val="31"/>
        <w:tblW w:w="8720" w:type="dxa"/>
        <w:jc w:val="center"/>
        <w:tblInd w:w="0" w:type="dxa"/>
        <w:tblLayout w:type="fixed"/>
        <w:tblCellMar>
          <w:top w:w="0" w:type="dxa"/>
          <w:left w:w="108" w:type="dxa"/>
          <w:bottom w:w="0" w:type="dxa"/>
          <w:right w:w="108" w:type="dxa"/>
        </w:tblCellMar>
      </w:tblPr>
      <w:tblGrid>
        <w:gridCol w:w="951"/>
        <w:gridCol w:w="1596"/>
        <w:gridCol w:w="499"/>
        <w:gridCol w:w="950"/>
        <w:gridCol w:w="1650"/>
        <w:gridCol w:w="579"/>
        <w:gridCol w:w="950"/>
        <w:gridCol w:w="1545"/>
      </w:tblGrid>
      <w:tr>
        <w:tblPrEx>
          <w:tblLayout w:type="fixed"/>
          <w:tblCellMar>
            <w:top w:w="0" w:type="dxa"/>
            <w:left w:w="108" w:type="dxa"/>
            <w:bottom w:w="0" w:type="dxa"/>
            <w:right w:w="108" w:type="dxa"/>
          </w:tblCellMar>
        </w:tblPrEx>
        <w:trPr>
          <w:trHeight w:val="567" w:hRule="atLeast"/>
          <w:jc w:val="center"/>
        </w:trPr>
        <w:tc>
          <w:tcPr>
            <w:tcW w:w="2547" w:type="dxa"/>
            <w:gridSpan w:val="2"/>
            <w:vAlign w:val="bottom"/>
          </w:tcPr>
          <w:p>
            <w:pPr>
              <w:autoSpaceDE w:val="0"/>
              <w:autoSpaceDN w:val="0"/>
              <w:adjustRightInd w:val="0"/>
              <w:snapToGrid w:val="0"/>
              <w:spacing w:line="460" w:lineRule="atLeast"/>
              <w:ind w:right="420"/>
              <w:rPr>
                <w:rFonts w:ascii="宋体" w:hAnsi="宋体" w:cs="宋体"/>
                <w:bCs/>
                <w:snapToGrid w:val="0"/>
                <w:kern w:val="0"/>
              </w:rPr>
            </w:pPr>
            <w:r>
              <w:rPr>
                <w:rFonts w:hint="eastAsia" w:ascii="宋体" w:hAnsi="宋体" w:cs="宋体"/>
                <w:bCs/>
                <w:snapToGrid w:val="0"/>
                <w:kern w:val="0"/>
              </w:rPr>
              <w:t>法定代表人</w:t>
            </w:r>
          </w:p>
        </w:tc>
        <w:tc>
          <w:tcPr>
            <w:tcW w:w="499" w:type="dxa"/>
            <w:vAlign w:val="bottom"/>
          </w:tcPr>
          <w:p>
            <w:pPr>
              <w:autoSpaceDE w:val="0"/>
              <w:autoSpaceDN w:val="0"/>
              <w:adjustRightInd w:val="0"/>
              <w:snapToGrid w:val="0"/>
              <w:spacing w:line="460" w:lineRule="atLeast"/>
              <w:ind w:right="525"/>
              <w:jc w:val="center"/>
              <w:rPr>
                <w:rFonts w:ascii="宋体" w:hAnsi="宋体" w:cs="宋体"/>
                <w:bCs/>
                <w:snapToGrid w:val="0"/>
                <w:kern w:val="0"/>
              </w:rPr>
            </w:pPr>
          </w:p>
        </w:tc>
        <w:tc>
          <w:tcPr>
            <w:tcW w:w="2600" w:type="dxa"/>
            <w:gridSpan w:val="2"/>
            <w:vAlign w:val="bottom"/>
          </w:tcPr>
          <w:p>
            <w:pPr>
              <w:autoSpaceDE w:val="0"/>
              <w:autoSpaceDN w:val="0"/>
              <w:adjustRightInd w:val="0"/>
              <w:snapToGrid w:val="0"/>
              <w:spacing w:line="460" w:lineRule="atLeast"/>
              <w:ind w:right="31"/>
              <w:rPr>
                <w:rFonts w:ascii="宋体" w:hAnsi="宋体" w:cs="宋体"/>
                <w:bCs/>
                <w:snapToGrid w:val="0"/>
                <w:kern w:val="0"/>
              </w:rPr>
            </w:pPr>
            <w:r>
              <w:rPr>
                <w:rFonts w:hint="eastAsia" w:ascii="宋体" w:hAnsi="宋体" w:cs="宋体"/>
                <w:bCs/>
                <w:snapToGrid w:val="0"/>
                <w:kern w:val="0"/>
              </w:rPr>
              <w:t>主管会计工作负责人</w:t>
            </w:r>
          </w:p>
        </w:tc>
        <w:tc>
          <w:tcPr>
            <w:tcW w:w="579" w:type="dxa"/>
            <w:vAlign w:val="bottom"/>
          </w:tcPr>
          <w:p>
            <w:pPr>
              <w:autoSpaceDE w:val="0"/>
              <w:autoSpaceDN w:val="0"/>
              <w:adjustRightInd w:val="0"/>
              <w:snapToGrid w:val="0"/>
              <w:spacing w:line="460" w:lineRule="atLeast"/>
              <w:ind w:right="420"/>
              <w:jc w:val="center"/>
              <w:rPr>
                <w:rFonts w:ascii="宋体" w:hAnsi="宋体" w:cs="宋体"/>
                <w:bCs/>
                <w:snapToGrid w:val="0"/>
                <w:kern w:val="0"/>
              </w:rPr>
            </w:pPr>
          </w:p>
        </w:tc>
        <w:tc>
          <w:tcPr>
            <w:tcW w:w="2495" w:type="dxa"/>
            <w:gridSpan w:val="2"/>
            <w:vAlign w:val="bottom"/>
          </w:tcPr>
          <w:p>
            <w:pPr>
              <w:tabs>
                <w:tab w:val="left" w:pos="2427"/>
              </w:tabs>
              <w:autoSpaceDE w:val="0"/>
              <w:autoSpaceDN w:val="0"/>
              <w:adjustRightInd w:val="0"/>
              <w:snapToGrid w:val="0"/>
              <w:spacing w:line="460" w:lineRule="atLeast"/>
              <w:ind w:right="-3"/>
              <w:rPr>
                <w:rFonts w:ascii="宋体" w:hAnsi="宋体" w:cs="宋体"/>
                <w:bCs/>
                <w:snapToGrid w:val="0"/>
                <w:kern w:val="0"/>
              </w:rPr>
            </w:pPr>
            <w:r>
              <w:rPr>
                <w:rFonts w:hint="eastAsia" w:ascii="宋体" w:hAnsi="宋体" w:cs="宋体"/>
                <w:bCs/>
                <w:snapToGrid w:val="0"/>
                <w:kern w:val="0"/>
              </w:rPr>
              <w:t>会计机构负责人</w:t>
            </w:r>
          </w:p>
        </w:tc>
      </w:tr>
      <w:tr>
        <w:tblPrEx>
          <w:tblLayout w:type="fixed"/>
          <w:tblCellMar>
            <w:top w:w="0" w:type="dxa"/>
            <w:left w:w="108" w:type="dxa"/>
            <w:bottom w:w="0" w:type="dxa"/>
            <w:right w:w="108" w:type="dxa"/>
          </w:tblCellMar>
        </w:tblPrEx>
        <w:trPr>
          <w:trHeight w:val="649" w:hRule="atLeast"/>
          <w:jc w:val="center"/>
        </w:trPr>
        <w:tc>
          <w:tcPr>
            <w:tcW w:w="951" w:type="dxa"/>
            <w:vAlign w:val="bottom"/>
          </w:tcPr>
          <w:p>
            <w:pPr>
              <w:autoSpaceDE w:val="0"/>
              <w:autoSpaceDN w:val="0"/>
              <w:adjustRightInd w:val="0"/>
              <w:snapToGrid w:val="0"/>
              <w:spacing w:line="460" w:lineRule="atLeast"/>
              <w:rPr>
                <w:rFonts w:ascii="宋体" w:hAnsi="宋体" w:cs="Arial"/>
                <w:snapToGrid w:val="0"/>
                <w:kern w:val="0"/>
                <w:lang w:val="en-GB"/>
              </w:rPr>
            </w:pPr>
            <w:r>
              <w:rPr>
                <w:rFonts w:hint="eastAsia" w:ascii="宋体" w:hAnsi="宋体" w:cs="宋体"/>
                <w:snapToGrid w:val="0"/>
                <w:kern w:val="0"/>
                <w:lang w:val="en-GB"/>
              </w:rPr>
              <w:t>签名：</w:t>
            </w:r>
          </w:p>
        </w:tc>
        <w:tc>
          <w:tcPr>
            <w:tcW w:w="1596" w:type="dxa"/>
            <w:tcBorders>
              <w:left w:val="nil"/>
              <w:bottom w:val="single" w:color="auto" w:sz="4" w:space="0"/>
            </w:tcBorders>
            <w:vAlign w:val="bottom"/>
          </w:tcPr>
          <w:p>
            <w:pPr>
              <w:autoSpaceDE w:val="0"/>
              <w:autoSpaceDN w:val="0"/>
              <w:adjustRightInd w:val="0"/>
              <w:snapToGrid w:val="0"/>
              <w:spacing w:line="460" w:lineRule="atLeast"/>
              <w:rPr>
                <w:rFonts w:ascii="宋体" w:hAnsi="宋体" w:cs="Arial"/>
                <w:snapToGrid w:val="0"/>
                <w:kern w:val="0"/>
                <w:lang w:val="en-GB"/>
              </w:rPr>
            </w:pPr>
          </w:p>
        </w:tc>
        <w:tc>
          <w:tcPr>
            <w:tcW w:w="499" w:type="dxa"/>
            <w:vAlign w:val="bottom"/>
          </w:tcPr>
          <w:p>
            <w:pPr>
              <w:autoSpaceDE w:val="0"/>
              <w:autoSpaceDN w:val="0"/>
              <w:adjustRightInd w:val="0"/>
              <w:snapToGrid w:val="0"/>
              <w:spacing w:line="460" w:lineRule="atLeast"/>
              <w:rPr>
                <w:rFonts w:ascii="宋体" w:hAnsi="宋体" w:cs="Arial"/>
                <w:snapToGrid w:val="0"/>
                <w:kern w:val="0"/>
                <w:lang w:val="en-GB"/>
              </w:rPr>
            </w:pPr>
          </w:p>
        </w:tc>
        <w:tc>
          <w:tcPr>
            <w:tcW w:w="950" w:type="dxa"/>
            <w:vAlign w:val="bottom"/>
          </w:tcPr>
          <w:p>
            <w:pPr>
              <w:autoSpaceDE w:val="0"/>
              <w:autoSpaceDN w:val="0"/>
              <w:adjustRightInd w:val="0"/>
              <w:snapToGrid w:val="0"/>
              <w:spacing w:line="460" w:lineRule="atLeast"/>
              <w:rPr>
                <w:rFonts w:ascii="宋体" w:hAnsi="宋体" w:cs="Arial"/>
                <w:snapToGrid w:val="0"/>
                <w:kern w:val="0"/>
                <w:lang w:val="en-GB"/>
              </w:rPr>
            </w:pPr>
            <w:r>
              <w:rPr>
                <w:rFonts w:hint="eastAsia" w:ascii="宋体" w:hAnsi="宋体" w:cs="宋体"/>
                <w:snapToGrid w:val="0"/>
                <w:kern w:val="0"/>
                <w:lang w:val="en-GB"/>
              </w:rPr>
              <w:t>签名：</w:t>
            </w:r>
          </w:p>
        </w:tc>
        <w:tc>
          <w:tcPr>
            <w:tcW w:w="1650" w:type="dxa"/>
            <w:tcBorders>
              <w:left w:val="nil"/>
              <w:bottom w:val="single" w:color="auto" w:sz="4" w:space="0"/>
            </w:tcBorders>
            <w:vAlign w:val="bottom"/>
          </w:tcPr>
          <w:p>
            <w:pPr>
              <w:autoSpaceDE w:val="0"/>
              <w:autoSpaceDN w:val="0"/>
              <w:adjustRightInd w:val="0"/>
              <w:snapToGrid w:val="0"/>
              <w:spacing w:line="460" w:lineRule="atLeast"/>
              <w:rPr>
                <w:rFonts w:ascii="宋体" w:hAnsi="宋体" w:cs="Arial"/>
                <w:snapToGrid w:val="0"/>
                <w:kern w:val="0"/>
                <w:lang w:val="en-GB"/>
              </w:rPr>
            </w:pPr>
          </w:p>
        </w:tc>
        <w:tc>
          <w:tcPr>
            <w:tcW w:w="579" w:type="dxa"/>
            <w:vAlign w:val="bottom"/>
          </w:tcPr>
          <w:p>
            <w:pPr>
              <w:autoSpaceDE w:val="0"/>
              <w:autoSpaceDN w:val="0"/>
              <w:adjustRightInd w:val="0"/>
              <w:snapToGrid w:val="0"/>
              <w:spacing w:line="460" w:lineRule="atLeast"/>
              <w:rPr>
                <w:rFonts w:ascii="宋体" w:hAnsi="宋体" w:cs="Arial"/>
                <w:snapToGrid w:val="0"/>
                <w:kern w:val="0"/>
                <w:lang w:val="en-GB"/>
              </w:rPr>
            </w:pPr>
          </w:p>
        </w:tc>
        <w:tc>
          <w:tcPr>
            <w:tcW w:w="950" w:type="dxa"/>
            <w:vAlign w:val="bottom"/>
          </w:tcPr>
          <w:p>
            <w:pPr>
              <w:autoSpaceDE w:val="0"/>
              <w:autoSpaceDN w:val="0"/>
              <w:adjustRightInd w:val="0"/>
              <w:snapToGrid w:val="0"/>
              <w:spacing w:line="460" w:lineRule="atLeast"/>
              <w:rPr>
                <w:rFonts w:ascii="宋体" w:hAnsi="宋体" w:cs="Arial"/>
                <w:snapToGrid w:val="0"/>
                <w:kern w:val="0"/>
                <w:lang w:val="en-GB"/>
              </w:rPr>
            </w:pPr>
            <w:r>
              <w:rPr>
                <w:rFonts w:hint="eastAsia" w:ascii="宋体" w:hAnsi="宋体" w:cs="宋体"/>
                <w:snapToGrid w:val="0"/>
                <w:kern w:val="0"/>
                <w:lang w:val="en-GB"/>
              </w:rPr>
              <w:t>签名：</w:t>
            </w:r>
          </w:p>
        </w:tc>
        <w:tc>
          <w:tcPr>
            <w:tcW w:w="1545" w:type="dxa"/>
            <w:tcBorders>
              <w:left w:val="nil"/>
              <w:bottom w:val="single" w:color="auto" w:sz="4" w:space="0"/>
            </w:tcBorders>
            <w:vAlign w:val="bottom"/>
          </w:tcPr>
          <w:p>
            <w:pPr>
              <w:autoSpaceDE w:val="0"/>
              <w:autoSpaceDN w:val="0"/>
              <w:adjustRightInd w:val="0"/>
              <w:snapToGrid w:val="0"/>
              <w:spacing w:line="460" w:lineRule="atLeast"/>
              <w:rPr>
                <w:rFonts w:ascii="宋体" w:hAnsi="宋体" w:cs="Arial"/>
                <w:snapToGrid w:val="0"/>
                <w:kern w:val="0"/>
                <w:lang w:val="en-GB"/>
              </w:rPr>
            </w:pPr>
          </w:p>
        </w:tc>
      </w:tr>
      <w:tr>
        <w:tblPrEx>
          <w:tblLayout w:type="fixed"/>
          <w:tblCellMar>
            <w:top w:w="0" w:type="dxa"/>
            <w:left w:w="108" w:type="dxa"/>
            <w:bottom w:w="0" w:type="dxa"/>
            <w:right w:w="108" w:type="dxa"/>
          </w:tblCellMar>
        </w:tblPrEx>
        <w:trPr>
          <w:trHeight w:val="689" w:hRule="atLeast"/>
          <w:jc w:val="center"/>
        </w:trPr>
        <w:tc>
          <w:tcPr>
            <w:tcW w:w="951" w:type="dxa"/>
            <w:vAlign w:val="bottom"/>
          </w:tcPr>
          <w:p>
            <w:pPr>
              <w:autoSpaceDE w:val="0"/>
              <w:autoSpaceDN w:val="0"/>
              <w:adjustRightInd w:val="0"/>
              <w:snapToGrid w:val="0"/>
              <w:spacing w:line="460" w:lineRule="atLeast"/>
              <w:rPr>
                <w:rFonts w:ascii="宋体" w:hAnsi="宋体" w:cs="Arial"/>
                <w:snapToGrid w:val="0"/>
                <w:kern w:val="0"/>
                <w:lang w:val="en-GB"/>
              </w:rPr>
            </w:pPr>
            <w:r>
              <w:rPr>
                <w:rFonts w:hint="eastAsia" w:ascii="宋体" w:hAnsi="宋体" w:cs="宋体"/>
                <w:snapToGrid w:val="0"/>
                <w:kern w:val="0"/>
                <w:lang w:val="en-GB"/>
              </w:rPr>
              <w:t>日期：</w:t>
            </w:r>
          </w:p>
        </w:tc>
        <w:tc>
          <w:tcPr>
            <w:tcW w:w="1596" w:type="dxa"/>
            <w:tcBorders>
              <w:top w:val="single" w:color="auto" w:sz="4" w:space="0"/>
              <w:left w:val="nil"/>
              <w:bottom w:val="single" w:color="auto" w:sz="4" w:space="0"/>
            </w:tcBorders>
            <w:vAlign w:val="bottom"/>
          </w:tcPr>
          <w:p>
            <w:pPr>
              <w:autoSpaceDE w:val="0"/>
              <w:autoSpaceDN w:val="0"/>
              <w:adjustRightInd w:val="0"/>
              <w:snapToGrid w:val="0"/>
              <w:spacing w:line="460" w:lineRule="atLeast"/>
              <w:ind w:right="315"/>
              <w:rPr>
                <w:rFonts w:ascii="宋体" w:hAnsi="宋体" w:cs="Arial"/>
                <w:snapToGrid w:val="0"/>
                <w:kern w:val="0"/>
                <w:lang w:val="en-GB"/>
              </w:rPr>
            </w:pPr>
          </w:p>
        </w:tc>
        <w:tc>
          <w:tcPr>
            <w:tcW w:w="499" w:type="dxa"/>
            <w:vAlign w:val="bottom"/>
          </w:tcPr>
          <w:p>
            <w:pPr>
              <w:autoSpaceDE w:val="0"/>
              <w:autoSpaceDN w:val="0"/>
              <w:adjustRightInd w:val="0"/>
              <w:snapToGrid w:val="0"/>
              <w:spacing w:line="460" w:lineRule="atLeast"/>
              <w:ind w:right="630"/>
              <w:rPr>
                <w:rFonts w:ascii="宋体" w:hAnsi="宋体"/>
                <w:snapToGrid w:val="0"/>
                <w:kern w:val="0"/>
                <w:lang w:val="en-GB"/>
              </w:rPr>
            </w:pPr>
          </w:p>
        </w:tc>
        <w:tc>
          <w:tcPr>
            <w:tcW w:w="950" w:type="dxa"/>
            <w:vAlign w:val="bottom"/>
          </w:tcPr>
          <w:p>
            <w:pPr>
              <w:autoSpaceDE w:val="0"/>
              <w:autoSpaceDN w:val="0"/>
              <w:adjustRightInd w:val="0"/>
              <w:snapToGrid w:val="0"/>
              <w:spacing w:line="460" w:lineRule="atLeast"/>
              <w:rPr>
                <w:rFonts w:ascii="宋体" w:hAnsi="宋体" w:cs="Arial"/>
                <w:snapToGrid w:val="0"/>
                <w:kern w:val="0"/>
                <w:lang w:val="en-GB"/>
              </w:rPr>
            </w:pPr>
            <w:r>
              <w:rPr>
                <w:rFonts w:hint="eastAsia" w:ascii="宋体" w:hAnsi="宋体" w:cs="宋体"/>
                <w:snapToGrid w:val="0"/>
                <w:kern w:val="0"/>
                <w:lang w:val="en-GB"/>
              </w:rPr>
              <w:t>日期：</w:t>
            </w:r>
          </w:p>
        </w:tc>
        <w:tc>
          <w:tcPr>
            <w:tcW w:w="1650" w:type="dxa"/>
            <w:tcBorders>
              <w:top w:val="single" w:color="auto" w:sz="4" w:space="0"/>
              <w:left w:val="nil"/>
              <w:bottom w:val="single" w:color="auto" w:sz="4" w:space="0"/>
            </w:tcBorders>
            <w:vAlign w:val="bottom"/>
          </w:tcPr>
          <w:p>
            <w:pPr>
              <w:autoSpaceDE w:val="0"/>
              <w:autoSpaceDN w:val="0"/>
              <w:adjustRightInd w:val="0"/>
              <w:snapToGrid w:val="0"/>
              <w:spacing w:line="460" w:lineRule="atLeast"/>
              <w:ind w:right="315"/>
              <w:rPr>
                <w:rFonts w:ascii="宋体" w:hAnsi="宋体" w:cs="Arial"/>
                <w:snapToGrid w:val="0"/>
                <w:kern w:val="0"/>
                <w:lang w:val="en-GB"/>
              </w:rPr>
            </w:pPr>
          </w:p>
        </w:tc>
        <w:tc>
          <w:tcPr>
            <w:tcW w:w="579" w:type="dxa"/>
            <w:vAlign w:val="bottom"/>
          </w:tcPr>
          <w:p>
            <w:pPr>
              <w:autoSpaceDE w:val="0"/>
              <w:autoSpaceDN w:val="0"/>
              <w:adjustRightInd w:val="0"/>
              <w:snapToGrid w:val="0"/>
              <w:spacing w:line="460" w:lineRule="atLeast"/>
              <w:ind w:right="525"/>
              <w:rPr>
                <w:rFonts w:ascii="宋体" w:hAnsi="宋体"/>
                <w:snapToGrid w:val="0"/>
                <w:kern w:val="0"/>
                <w:lang w:val="en-GB"/>
              </w:rPr>
            </w:pPr>
          </w:p>
        </w:tc>
        <w:tc>
          <w:tcPr>
            <w:tcW w:w="950" w:type="dxa"/>
            <w:vAlign w:val="bottom"/>
          </w:tcPr>
          <w:p>
            <w:pPr>
              <w:autoSpaceDE w:val="0"/>
              <w:autoSpaceDN w:val="0"/>
              <w:adjustRightInd w:val="0"/>
              <w:snapToGrid w:val="0"/>
              <w:spacing w:line="460" w:lineRule="atLeast"/>
              <w:rPr>
                <w:rFonts w:ascii="宋体" w:hAnsi="宋体" w:cs="Arial"/>
                <w:snapToGrid w:val="0"/>
                <w:kern w:val="0"/>
                <w:lang w:val="en-GB"/>
              </w:rPr>
            </w:pPr>
            <w:r>
              <w:rPr>
                <w:rFonts w:hint="eastAsia" w:ascii="宋体" w:hAnsi="宋体" w:cs="宋体"/>
                <w:snapToGrid w:val="0"/>
                <w:kern w:val="0"/>
                <w:lang w:val="en-GB"/>
              </w:rPr>
              <w:t>日期：</w:t>
            </w:r>
          </w:p>
        </w:tc>
        <w:tc>
          <w:tcPr>
            <w:tcW w:w="1545" w:type="dxa"/>
            <w:tcBorders>
              <w:top w:val="single" w:color="auto" w:sz="4" w:space="0"/>
              <w:left w:val="nil"/>
              <w:bottom w:val="single" w:color="auto" w:sz="4" w:space="0"/>
            </w:tcBorders>
            <w:vAlign w:val="bottom"/>
          </w:tcPr>
          <w:p>
            <w:pPr>
              <w:autoSpaceDE w:val="0"/>
              <w:autoSpaceDN w:val="0"/>
              <w:adjustRightInd w:val="0"/>
              <w:snapToGrid w:val="0"/>
              <w:spacing w:line="460" w:lineRule="atLeast"/>
              <w:ind w:right="315"/>
              <w:rPr>
                <w:rFonts w:ascii="宋体" w:hAnsi="宋体" w:cs="Arial"/>
                <w:snapToGrid w:val="0"/>
                <w:kern w:val="0"/>
                <w:lang w:val="en-GB"/>
              </w:rPr>
            </w:pPr>
          </w:p>
        </w:tc>
      </w:tr>
    </w:tbl>
    <w:p>
      <w:pPr>
        <w:adjustRightInd w:val="0"/>
        <w:snapToGrid w:val="0"/>
        <w:spacing w:line="460" w:lineRule="atLeast"/>
        <w:rPr>
          <w:rFonts w:ascii="宋体" w:hAnsi="宋体"/>
          <w:snapToGrid w:val="0"/>
          <w:kern w:val="0"/>
        </w:rPr>
      </w:pPr>
    </w:p>
    <w:p>
      <w:pPr>
        <w:pStyle w:val="15"/>
        <w:snapToGrid w:val="0"/>
        <w:spacing w:line="460" w:lineRule="atLeast"/>
        <w:ind w:right="315"/>
        <w:jc w:val="left"/>
        <w:textAlignment w:val="auto"/>
        <w:rPr>
          <w:rFonts w:hAnsi="宋体"/>
          <w:snapToGrid w:val="0"/>
          <w:kern w:val="0"/>
        </w:rPr>
      </w:pPr>
    </w:p>
    <w:sectPr>
      <w:headerReference r:id="rId6" w:type="default"/>
      <w:footerReference r:id="rId7" w:type="default"/>
      <w:pgSz w:w="11906" w:h="16838"/>
      <w:pgMar w:top="1418" w:right="1701" w:bottom="1134" w:left="1701" w:header="851" w:footer="1134" w:gutter="0"/>
      <w:pgNumType w:fmt="numberInDash" w:start="1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隶书">
    <w:altName w:val="微软雅黑"/>
    <w:panose1 w:val="02010509060101010101"/>
    <w:charset w:val="86"/>
    <w:family w:val="modern"/>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华文中宋">
    <w:altName w:val="宋体"/>
    <w:panose1 w:val="02010600040101010101"/>
    <w:charset w:val="86"/>
    <w:family w:val="auto"/>
    <w:pitch w:val="default"/>
    <w:sig w:usb0="00000000" w:usb1="00000000" w:usb2="00000010" w:usb3="00000000" w:csb0="0004009F" w:csb1="00000000"/>
  </w:font>
  <w:font w:name="仿宋_GB2312">
    <w:altName w:val="仿宋"/>
    <w:panose1 w:val="00000000000000000000"/>
    <w:charset w:val="86"/>
    <w:family w:val="modern"/>
    <w:pitch w:val="default"/>
    <w:sig w:usb0="00000000" w:usb1="00000000" w:usb2="00000016" w:usb3="00000000" w:csb0="00040001" w:csb1="00000000"/>
  </w:font>
  <w:font w:name="Arial Narrow">
    <w:altName w:val="Arial"/>
    <w:panose1 w:val="020B0606020202030204"/>
    <w:charset w:val="00"/>
    <w:family w:val="swiss"/>
    <w:pitch w:val="default"/>
    <w:sig w:usb0="00000000" w:usb1="00000000" w:usb2="00000000" w:usb3="00000000" w:csb0="0000009F" w:csb1="00000000"/>
  </w:font>
  <w:font w:name="方正仿宋简体">
    <w:altName w:val="宋体"/>
    <w:panose1 w:val="00000000000000000000"/>
    <w:charset w:val="86"/>
    <w:family w:val="auto"/>
    <w:pitch w:val="default"/>
    <w:sig w:usb0="00000000" w:usb1="00000000" w:usb2="00000010" w:usb3="00000000" w:csb0="00040000" w:csb1="00000000"/>
  </w:font>
  <w:font w:name="Georgia">
    <w:panose1 w:val="02040502050405020303"/>
    <w:charset w:val="00"/>
    <w:family w:val="roman"/>
    <w:pitch w:val="default"/>
    <w:sig w:usb0="00000287" w:usb1="00000000" w:usb2="00000000" w:usb3="00000000" w:csb0="2000009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center"/>
      <w:rPr>
        <w:rFonts w:ascii="宋体"/>
        <w:sz w:val="20"/>
        <w:szCs w:val="20"/>
      </w:rPr>
    </w:pPr>
    <w:r>
      <w:rPr>
        <w:rFonts w:ascii="宋体" w:hAnsi="宋体"/>
        <w:sz w:val="20"/>
        <w:szCs w:val="20"/>
      </w:rPr>
      <w:fldChar w:fldCharType="begin"/>
    </w:r>
    <w:r>
      <w:rPr>
        <w:rFonts w:ascii="宋体" w:hAnsi="宋体"/>
        <w:sz w:val="20"/>
        <w:szCs w:val="20"/>
      </w:rPr>
      <w:instrText xml:space="preserve"> PAGE   \* MERGEFORMAT </w:instrText>
    </w:r>
    <w:r>
      <w:rPr>
        <w:rFonts w:ascii="宋体" w:hAnsi="宋体"/>
        <w:sz w:val="20"/>
        <w:szCs w:val="20"/>
      </w:rPr>
      <w:fldChar w:fldCharType="separate"/>
    </w:r>
    <w:r>
      <w:rPr>
        <w:rFonts w:ascii="宋体" w:hAnsi="宋体"/>
        <w:sz w:val="20"/>
        <w:szCs w:val="20"/>
        <w:lang w:val="zh-CN"/>
      </w:rPr>
      <w:t>-</w:t>
    </w:r>
    <w:r>
      <w:rPr>
        <w:rFonts w:ascii="宋体" w:hAnsi="宋体"/>
        <w:sz w:val="20"/>
        <w:szCs w:val="20"/>
      </w:rPr>
      <w:t xml:space="preserve"> 3 -</w:t>
    </w:r>
    <w:r>
      <w:rPr>
        <w:rFonts w:ascii="宋体" w:hAnsi="宋体"/>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sdt>
                          <w:sdtPr>
                            <w:id w:val="5716950"/>
                          </w:sdtPr>
                          <w:sdtContent>
                            <w:p>
                              <w:pPr>
                                <w:pStyle w:val="19"/>
                                <w:jc w:val="center"/>
                              </w:pPr>
                              <w:r>
                                <w:fldChar w:fldCharType="begin"/>
                              </w:r>
                              <w:r>
                                <w:instrText xml:space="preserve"> PAGE   \* MERGEFORMAT </w:instrText>
                              </w:r>
                              <w:r>
                                <w:fldChar w:fldCharType="separate"/>
                              </w:r>
                              <w:r>
                                <w:rPr>
                                  <w:lang w:val="zh-CN"/>
                                </w:rPr>
                                <w:t>-</w:t>
                              </w:r>
                              <w:r>
                                <w:t xml:space="preserve"> 27 -</w:t>
                              </w:r>
                              <w:r>
                                <w:fldChar w:fldCharType="end"/>
                              </w:r>
                            </w:p>
                          </w:sdtContent>
                        </w:sdt>
                        <w:p/>
                      </w:txbxContent>
                    </wps:txbx>
                    <wps:bodyPr wrap="none" lIns="0" tIns="0" rIns="0" bIns="0" upright="1">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DOqXm5&#10;zwAAAAUBAAAPAAAAAAAAAAEAIAAAACIAAABkcnMvZG93bnJldi54bWxQSwECFAAUAAAACACHTuJA&#10;r2qcHbgBAABUAwAADgAAAAAAAAABACAAAAAeAQAAZHJzL2Uyb0RvYy54bWxQSwUGAAAAAAYABgBZ&#10;AQAASAUAAAAA&#10;">
              <v:fill on="f" focussize="0,0"/>
              <v:stroke on="f"/>
              <v:imagedata o:title=""/>
              <o:lock v:ext="edit" aspectratio="f"/>
              <v:textbox inset="0mm,0mm,0mm,0mm" style="mso-fit-shape-to-text:t;">
                <w:txbxContent>
                  <w:sdt>
                    <w:sdtPr>
                      <w:id w:val="5716950"/>
                    </w:sdtPr>
                    <w:sdtContent>
                      <w:p>
                        <w:pPr>
                          <w:pStyle w:val="19"/>
                          <w:jc w:val="center"/>
                        </w:pPr>
                        <w:r>
                          <w:fldChar w:fldCharType="begin"/>
                        </w:r>
                        <w:r>
                          <w:instrText xml:space="preserve"> PAGE   \* MERGEFORMAT </w:instrText>
                        </w:r>
                        <w:r>
                          <w:fldChar w:fldCharType="separate"/>
                        </w:r>
                        <w:r>
                          <w:rPr>
                            <w:lang w:val="zh-CN"/>
                          </w:rPr>
                          <w:t>-</w:t>
                        </w:r>
                        <w:r>
                          <w:t xml:space="preserve"> 27 -</w:t>
                        </w:r>
                        <w:r>
                          <w:fldChar w:fldCharType="end"/>
                        </w:r>
                      </w:p>
                    </w:sdtContent>
                  </w:sdt>
                  <w:p/>
                </w:txbxContent>
              </v:textbox>
            </v:shape>
          </w:pict>
        </mc:Fallback>
      </mc:AlternateContent>
    </w:r>
  </w:p>
  <w:p>
    <w:pPr>
      <w:pStyle w:val="1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
  <w:p/>
  <w:p>
    <w:r>
      <mc:AlternateContent>
        <mc:Choice Requires="wps">
          <w:drawing>
            <wp:anchor distT="0" distB="0" distL="114300" distR="114300" simplePos="0" relativeHeight="251656192" behindDoc="0" locked="0" layoutInCell="1" allowOverlap="1">
              <wp:simplePos x="0" y="0"/>
              <wp:positionH relativeFrom="column">
                <wp:posOffset>4053840</wp:posOffset>
              </wp:positionH>
              <wp:positionV relativeFrom="paragraph">
                <wp:posOffset>142875</wp:posOffset>
              </wp:positionV>
              <wp:extent cx="1647825" cy="587375"/>
              <wp:effectExtent l="0" t="0" r="0" b="0"/>
              <wp:wrapNone/>
              <wp:docPr id="2" name="Text Box 14"/>
              <wp:cNvGraphicFramePr/>
              <a:graphic xmlns:a="http://schemas.openxmlformats.org/drawingml/2006/main">
                <a:graphicData uri="http://schemas.microsoft.com/office/word/2010/wordprocessingShape">
                  <wps:wsp>
                    <wps:cNvSpPr txBox="1">
                      <a:spLocks noChangeArrowheads="1"/>
                    </wps:cNvSpPr>
                    <wps:spPr bwMode="auto">
                      <a:xfrm>
                        <a:off x="0" y="0"/>
                        <a:ext cx="1647825" cy="587375"/>
                      </a:xfrm>
                      <a:prstGeom prst="rect">
                        <a:avLst/>
                      </a:prstGeom>
                      <a:noFill/>
                      <a:ln>
                        <a:noFill/>
                      </a:ln>
                      <a:effectLst/>
                    </wps:spPr>
                    <wps:txbx>
                      <w:txbxContent>
                        <w:p>
                          <w:pPr>
                            <w:jc w:val="left"/>
                            <w:rPr>
                              <w:rFonts w:ascii="Arial Narrow" w:hAnsi="Arial Narrow" w:cs="Arial"/>
                              <w:sz w:val="15"/>
                              <w:szCs w:val="15"/>
                            </w:rPr>
                          </w:pPr>
                          <w:r>
                            <w:rPr>
                              <w:rFonts w:ascii="Arial Narrow" w:hAnsi="Arial Narrow" w:cs="Arial"/>
                              <w:sz w:val="15"/>
                              <w:szCs w:val="15"/>
                            </w:rPr>
                            <w:t>电话Telephone：</w:t>
                          </w:r>
                          <w:r>
                            <w:rPr>
                              <w:rFonts w:hint="eastAsia" w:ascii="Arial Narrow" w:hAnsi="Arial Narrow" w:cs="Arial"/>
                              <w:sz w:val="15"/>
                              <w:szCs w:val="15"/>
                            </w:rPr>
                            <w:t xml:space="preserve"> </w:t>
                          </w:r>
                          <w:r>
                            <w:rPr>
                              <w:rFonts w:ascii="Arial Narrow" w:hAnsi="Arial Narrow" w:cs="Arial"/>
                              <w:sz w:val="15"/>
                              <w:szCs w:val="15"/>
                            </w:rPr>
                            <w:t>+86（</w:t>
                          </w:r>
                          <w:r>
                            <w:rPr>
                              <w:rFonts w:hint="eastAsia" w:ascii="Arial Narrow" w:hAnsi="Arial Narrow" w:cs="Arial"/>
                              <w:sz w:val="15"/>
                              <w:szCs w:val="15"/>
                            </w:rPr>
                            <w:t>0731</w:t>
                          </w:r>
                          <w:r>
                            <w:rPr>
                              <w:rFonts w:ascii="Arial Narrow" w:hAnsi="Arial Narrow" w:cs="Arial"/>
                              <w:sz w:val="15"/>
                              <w:szCs w:val="15"/>
                            </w:rPr>
                            <w:t>）8</w:t>
                          </w:r>
                          <w:r>
                            <w:rPr>
                              <w:rFonts w:hint="eastAsia" w:ascii="Arial Narrow" w:hAnsi="Arial Narrow" w:cs="Arial"/>
                              <w:sz w:val="15"/>
                              <w:szCs w:val="15"/>
                            </w:rPr>
                            <w:t>5160103</w:t>
                          </w:r>
                        </w:p>
                        <w:p>
                          <w:pPr>
                            <w:jc w:val="left"/>
                            <w:rPr>
                              <w:rFonts w:ascii="Arial Narrow" w:hAnsi="Arial Narrow" w:cs="Arial"/>
                              <w:sz w:val="15"/>
                              <w:szCs w:val="15"/>
                            </w:rPr>
                          </w:pPr>
                          <w:r>
                            <w:rPr>
                              <w:rFonts w:ascii="Arial Narrow" w:hAnsi="Arial Narrow" w:cs="Arial"/>
                              <w:sz w:val="15"/>
                              <w:szCs w:val="15"/>
                            </w:rPr>
                            <w:t>传真Fax：</w:t>
                          </w:r>
                          <w:r>
                            <w:rPr>
                              <w:rFonts w:hint="eastAsia" w:ascii="Arial Narrow" w:hAnsi="Arial Narrow" w:cs="Arial"/>
                              <w:sz w:val="15"/>
                              <w:szCs w:val="15"/>
                            </w:rPr>
                            <w:t xml:space="preserve">      </w:t>
                          </w:r>
                          <w:r>
                            <w:rPr>
                              <w:rFonts w:ascii="Arial Narrow" w:hAnsi="Arial Narrow" w:cs="Arial"/>
                              <w:sz w:val="15"/>
                              <w:szCs w:val="15"/>
                            </w:rPr>
                            <w:t>+86</w:t>
                          </w:r>
                          <w:r>
                            <w:rPr>
                              <w:rFonts w:hint="eastAsia" w:ascii="Arial Narrow" w:hAnsi="Arial Narrow" w:cs="Arial"/>
                              <w:sz w:val="15"/>
                              <w:szCs w:val="15"/>
                            </w:rPr>
                            <w:t>（0731</w:t>
                          </w:r>
                          <w:r>
                            <w:rPr>
                              <w:rFonts w:ascii="Arial Narrow" w:hAnsi="Arial Narrow" w:cs="Arial"/>
                              <w:sz w:val="15"/>
                              <w:szCs w:val="15"/>
                            </w:rPr>
                            <w:t>）8</w:t>
                          </w:r>
                          <w:r>
                            <w:rPr>
                              <w:rFonts w:hint="eastAsia" w:ascii="Arial Narrow" w:hAnsi="Arial Narrow" w:cs="Arial"/>
                              <w:sz w:val="15"/>
                              <w:szCs w:val="15"/>
                            </w:rPr>
                            <w:t>5164366</w:t>
                          </w:r>
                        </w:p>
                        <w:p>
                          <w:pPr>
                            <w:jc w:val="left"/>
                            <w:rPr>
                              <w:rFonts w:ascii="Arial Narrow" w:hAnsi="Arial Narrow" w:cs="Arial"/>
                              <w:sz w:val="15"/>
                              <w:szCs w:val="15"/>
                            </w:rPr>
                          </w:pPr>
                          <w:r>
                            <w:rPr>
                              <w:rFonts w:ascii="Arial Narrow" w:hAnsi="Arial Narrow" w:cs="Arial"/>
                              <w:sz w:val="15"/>
                              <w:szCs w:val="15"/>
                            </w:rPr>
                            <w:t>网址Internet：</w:t>
                          </w:r>
                          <w:r>
                            <w:rPr>
                              <w:rFonts w:hint="eastAsia" w:ascii="Arial Narrow" w:hAnsi="Arial Narrow" w:cs="Arial"/>
                              <w:spacing w:val="20"/>
                              <w:sz w:val="15"/>
                              <w:szCs w:val="15"/>
                            </w:rPr>
                            <w:t xml:space="preserve"> </w:t>
                          </w:r>
                          <w:r>
                            <w:rPr>
                              <w:rFonts w:hint="eastAsia" w:ascii="Arial Narrow" w:hAnsi="Arial Narrow" w:cs="Arial"/>
                              <w:sz w:val="15"/>
                              <w:szCs w:val="15"/>
                            </w:rPr>
                            <w:t xml:space="preserve">  www.</w:t>
                          </w:r>
                          <w:r>
                            <w:rPr>
                              <w:rFonts w:ascii="Arial Narrow" w:hAnsi="Arial Narrow" w:cs="Arial"/>
                              <w:sz w:val="15"/>
                              <w:szCs w:val="15"/>
                            </w:rPr>
                            <w:t>daxincpa.com.cn</w:t>
                          </w:r>
                        </w:p>
                        <w:p>
                          <w:pPr>
                            <w:jc w:val="left"/>
                            <w:rPr>
                              <w:rFonts w:ascii="Arial" w:hAnsi="Arial" w:cs="Arial"/>
                              <w:sz w:val="15"/>
                              <w:szCs w:val="15"/>
                            </w:rPr>
                          </w:pPr>
                        </w:p>
                      </w:txbxContent>
                    </wps:txbx>
                    <wps:bodyPr rot="0" vert="horz" wrap="square" lIns="91440" tIns="45720" rIns="91440" bIns="45720" anchor="t" anchorCtr="0" upright="1">
                      <a:noAutofit/>
                    </wps:bodyPr>
                  </wps:wsp>
                </a:graphicData>
              </a:graphic>
            </wp:anchor>
          </w:drawing>
        </mc:Choice>
        <mc:Fallback>
          <w:pict>
            <v:shape id="Text Box 14" o:spid="_x0000_s1026" o:spt="202" type="#_x0000_t202" style="position:absolute;left:0pt;margin-left:319.2pt;margin-top:11.25pt;height:46.25pt;width:129.75pt;z-index:251656192;mso-width-relative:page;mso-height-relative:page;" filled="f" stroked="f" coordsize="21600,21600" o:gfxdata="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YCOXRtgAAAAKAQAADwAAAAAAAAABACAAAAAiAAAAZHJzL2Rvd25yZXYueG1sUEsBAhQA&#10;FAAAAAgAh07iQImLxVjyAQAA1QMAAA4AAAAAAAAAAQAgAAAAJwEAAGRycy9lMm9Eb2MueG1sUEsF&#10;BgAAAAAGAAYAWQEAAIsFAAAAAA==&#10;">
              <v:fill on="f" focussize="0,0"/>
              <v:stroke on="f"/>
              <v:imagedata o:title=""/>
              <o:lock v:ext="edit" aspectratio="f"/>
              <v:textbox>
                <w:txbxContent>
                  <w:p>
                    <w:pPr>
                      <w:jc w:val="left"/>
                      <w:rPr>
                        <w:rFonts w:ascii="Arial Narrow" w:hAnsi="Arial Narrow" w:cs="Arial"/>
                        <w:sz w:val="15"/>
                        <w:szCs w:val="15"/>
                      </w:rPr>
                    </w:pPr>
                    <w:r>
                      <w:rPr>
                        <w:rFonts w:ascii="Arial Narrow" w:hAnsi="Arial Narrow" w:cs="Arial"/>
                        <w:sz w:val="15"/>
                        <w:szCs w:val="15"/>
                      </w:rPr>
                      <w:t>电话Telephone：</w:t>
                    </w:r>
                    <w:r>
                      <w:rPr>
                        <w:rFonts w:hint="eastAsia" w:ascii="Arial Narrow" w:hAnsi="Arial Narrow" w:cs="Arial"/>
                        <w:sz w:val="15"/>
                        <w:szCs w:val="15"/>
                      </w:rPr>
                      <w:t xml:space="preserve"> </w:t>
                    </w:r>
                    <w:r>
                      <w:rPr>
                        <w:rFonts w:ascii="Arial Narrow" w:hAnsi="Arial Narrow" w:cs="Arial"/>
                        <w:sz w:val="15"/>
                        <w:szCs w:val="15"/>
                      </w:rPr>
                      <w:t>+86（</w:t>
                    </w:r>
                    <w:r>
                      <w:rPr>
                        <w:rFonts w:hint="eastAsia" w:ascii="Arial Narrow" w:hAnsi="Arial Narrow" w:cs="Arial"/>
                        <w:sz w:val="15"/>
                        <w:szCs w:val="15"/>
                      </w:rPr>
                      <w:t>0731</w:t>
                    </w:r>
                    <w:r>
                      <w:rPr>
                        <w:rFonts w:ascii="Arial Narrow" w:hAnsi="Arial Narrow" w:cs="Arial"/>
                        <w:sz w:val="15"/>
                        <w:szCs w:val="15"/>
                      </w:rPr>
                      <w:t>）8</w:t>
                    </w:r>
                    <w:r>
                      <w:rPr>
                        <w:rFonts w:hint="eastAsia" w:ascii="Arial Narrow" w:hAnsi="Arial Narrow" w:cs="Arial"/>
                        <w:sz w:val="15"/>
                        <w:szCs w:val="15"/>
                      </w:rPr>
                      <w:t>5160103</w:t>
                    </w:r>
                  </w:p>
                  <w:p>
                    <w:pPr>
                      <w:jc w:val="left"/>
                      <w:rPr>
                        <w:rFonts w:ascii="Arial Narrow" w:hAnsi="Arial Narrow" w:cs="Arial"/>
                        <w:sz w:val="15"/>
                        <w:szCs w:val="15"/>
                      </w:rPr>
                    </w:pPr>
                    <w:r>
                      <w:rPr>
                        <w:rFonts w:ascii="Arial Narrow" w:hAnsi="Arial Narrow" w:cs="Arial"/>
                        <w:sz w:val="15"/>
                        <w:szCs w:val="15"/>
                      </w:rPr>
                      <w:t>传真Fax：</w:t>
                    </w:r>
                    <w:r>
                      <w:rPr>
                        <w:rFonts w:hint="eastAsia" w:ascii="Arial Narrow" w:hAnsi="Arial Narrow" w:cs="Arial"/>
                        <w:sz w:val="15"/>
                        <w:szCs w:val="15"/>
                      </w:rPr>
                      <w:t xml:space="preserve">      </w:t>
                    </w:r>
                    <w:r>
                      <w:rPr>
                        <w:rFonts w:ascii="Arial Narrow" w:hAnsi="Arial Narrow" w:cs="Arial"/>
                        <w:sz w:val="15"/>
                        <w:szCs w:val="15"/>
                      </w:rPr>
                      <w:t>+86</w:t>
                    </w:r>
                    <w:r>
                      <w:rPr>
                        <w:rFonts w:hint="eastAsia" w:ascii="Arial Narrow" w:hAnsi="Arial Narrow" w:cs="Arial"/>
                        <w:sz w:val="15"/>
                        <w:szCs w:val="15"/>
                      </w:rPr>
                      <w:t>（0731</w:t>
                    </w:r>
                    <w:r>
                      <w:rPr>
                        <w:rFonts w:ascii="Arial Narrow" w:hAnsi="Arial Narrow" w:cs="Arial"/>
                        <w:sz w:val="15"/>
                        <w:szCs w:val="15"/>
                      </w:rPr>
                      <w:t>）8</w:t>
                    </w:r>
                    <w:r>
                      <w:rPr>
                        <w:rFonts w:hint="eastAsia" w:ascii="Arial Narrow" w:hAnsi="Arial Narrow" w:cs="Arial"/>
                        <w:sz w:val="15"/>
                        <w:szCs w:val="15"/>
                      </w:rPr>
                      <w:t>5164366</w:t>
                    </w:r>
                  </w:p>
                  <w:p>
                    <w:pPr>
                      <w:jc w:val="left"/>
                      <w:rPr>
                        <w:rFonts w:ascii="Arial Narrow" w:hAnsi="Arial Narrow" w:cs="Arial"/>
                        <w:sz w:val="15"/>
                        <w:szCs w:val="15"/>
                      </w:rPr>
                    </w:pPr>
                    <w:r>
                      <w:rPr>
                        <w:rFonts w:ascii="Arial Narrow" w:hAnsi="Arial Narrow" w:cs="Arial"/>
                        <w:sz w:val="15"/>
                        <w:szCs w:val="15"/>
                      </w:rPr>
                      <w:t>网址Internet：</w:t>
                    </w:r>
                    <w:r>
                      <w:rPr>
                        <w:rFonts w:hint="eastAsia" w:ascii="Arial Narrow" w:hAnsi="Arial Narrow" w:cs="Arial"/>
                        <w:spacing w:val="20"/>
                        <w:sz w:val="15"/>
                        <w:szCs w:val="15"/>
                      </w:rPr>
                      <w:t xml:space="preserve"> </w:t>
                    </w:r>
                    <w:r>
                      <w:rPr>
                        <w:rFonts w:hint="eastAsia" w:ascii="Arial Narrow" w:hAnsi="Arial Narrow" w:cs="Arial"/>
                        <w:sz w:val="15"/>
                        <w:szCs w:val="15"/>
                      </w:rPr>
                      <w:t xml:space="preserve">  www.</w:t>
                    </w:r>
                    <w:r>
                      <w:rPr>
                        <w:rFonts w:ascii="Arial Narrow" w:hAnsi="Arial Narrow" w:cs="Arial"/>
                        <w:sz w:val="15"/>
                        <w:szCs w:val="15"/>
                      </w:rPr>
                      <w:t>daxincpa.com.cn</w:t>
                    </w:r>
                  </w:p>
                  <w:p>
                    <w:pPr>
                      <w:jc w:val="left"/>
                      <w:rPr>
                        <w:rFonts w:ascii="Arial" w:hAnsi="Arial" w:cs="Arial"/>
                        <w:sz w:val="15"/>
                        <w:szCs w:val="15"/>
                      </w:rPr>
                    </w:pPr>
                  </w:p>
                </w:txbxContent>
              </v:textbox>
            </v:shape>
          </w:pict>
        </mc:Fallback>
      </mc:AlternateContent>
    </w:r>
    <w:r>
      <mc:AlternateContent>
        <mc:Choice Requires="wps">
          <w:drawing>
            <wp:anchor distT="0" distB="0" distL="114300" distR="114300" simplePos="0" relativeHeight="251657216" behindDoc="0" locked="0" layoutInCell="1" allowOverlap="1">
              <wp:simplePos x="0" y="0"/>
              <wp:positionH relativeFrom="column">
                <wp:posOffset>2129790</wp:posOffset>
              </wp:positionH>
              <wp:positionV relativeFrom="paragraph">
                <wp:posOffset>114300</wp:posOffset>
              </wp:positionV>
              <wp:extent cx="2095500" cy="838200"/>
              <wp:effectExtent l="0" t="0" r="0" b="0"/>
              <wp:wrapNone/>
              <wp:docPr id="3" name="Text Box 16"/>
              <wp:cNvGraphicFramePr/>
              <a:graphic xmlns:a="http://schemas.openxmlformats.org/drawingml/2006/main">
                <a:graphicData uri="http://schemas.microsoft.com/office/word/2010/wordprocessingShape">
                  <wps:wsp>
                    <wps:cNvSpPr txBox="1">
                      <a:spLocks noChangeArrowheads="1"/>
                    </wps:cNvSpPr>
                    <wps:spPr bwMode="auto">
                      <a:xfrm>
                        <a:off x="0" y="0"/>
                        <a:ext cx="2095500" cy="838200"/>
                      </a:xfrm>
                      <a:prstGeom prst="rect">
                        <a:avLst/>
                      </a:prstGeom>
                      <a:noFill/>
                      <a:ln>
                        <a:noFill/>
                      </a:ln>
                      <a:effectLst/>
                    </wps:spPr>
                    <wps:txbx>
                      <w:txbxContent>
                        <w:p>
                          <w:pPr>
                            <w:spacing w:line="220" w:lineRule="exact"/>
                            <w:jc w:val="left"/>
                            <w:rPr>
                              <w:rFonts w:ascii="Arial Narrow" w:hAnsi="Arial Narrow" w:cs="Arial"/>
                              <w:spacing w:val="4"/>
                              <w:sz w:val="15"/>
                              <w:szCs w:val="15"/>
                            </w:rPr>
                          </w:pPr>
                          <w:r>
                            <w:rPr>
                              <w:rFonts w:ascii="Arial Narrow" w:hAnsi="Arial Narrow" w:cs="Arial"/>
                              <w:spacing w:val="4"/>
                              <w:sz w:val="15"/>
                              <w:szCs w:val="15"/>
                            </w:rPr>
                            <w:t>WUYIGE Certified Public Accountants.LLP</w:t>
                          </w:r>
                          <w:r>
                            <w:rPr>
                              <w:rFonts w:hint="eastAsia" w:ascii="Arial Narrow" w:hAnsi="Arial Narrow" w:cs="Arial"/>
                              <w:spacing w:val="4"/>
                              <w:sz w:val="15"/>
                              <w:szCs w:val="15"/>
                            </w:rPr>
                            <w:t xml:space="preserve"> Changsha Branch, 7</w:t>
                          </w:r>
                          <w:r>
                            <w:rPr>
                              <w:rFonts w:ascii="Arial Narrow" w:hAnsi="Arial Narrow" w:cs="Arial"/>
                              <w:spacing w:val="4"/>
                              <w:sz w:val="15"/>
                              <w:szCs w:val="15"/>
                            </w:rPr>
                            <w:t>/F,</w:t>
                          </w:r>
                          <w:r>
                            <w:rPr>
                              <w:rFonts w:hint="eastAsia" w:ascii="Arial Narrow" w:hAnsi="Arial Narrow" w:cs="Arial"/>
                              <w:spacing w:val="4"/>
                              <w:sz w:val="15"/>
                              <w:szCs w:val="15"/>
                            </w:rPr>
                            <w:t xml:space="preserve"> Jianfa</w:t>
                          </w:r>
                          <w:r>
                            <w:rPr>
                              <w:rFonts w:hint="eastAsia" w:ascii="宋体" w:hAnsi="宋体" w:cs="Arial"/>
                              <w:spacing w:val="4"/>
                              <w:sz w:val="15"/>
                              <w:szCs w:val="15"/>
                            </w:rPr>
                            <w:t>•</w:t>
                          </w:r>
                          <w:r>
                            <w:rPr>
                              <w:rFonts w:hint="eastAsia" w:ascii="Arial Narrow" w:hAnsi="Arial Narrow" w:cs="Arial"/>
                              <w:spacing w:val="4"/>
                              <w:sz w:val="15"/>
                              <w:szCs w:val="15"/>
                            </w:rPr>
                            <w:t>Huijin</w:t>
                          </w:r>
                          <w:r>
                            <w:rPr>
                              <w:rFonts w:ascii="Arial Narrow" w:hAnsi="Arial Narrow" w:cs="Arial"/>
                              <w:spacing w:val="4"/>
                              <w:sz w:val="15"/>
                              <w:szCs w:val="15"/>
                            </w:rPr>
                            <w:t xml:space="preserve"> International Tower </w:t>
                          </w:r>
                          <w:r>
                            <w:rPr>
                              <w:rFonts w:hint="eastAsia" w:ascii="Arial Narrow" w:hAnsi="Arial Narrow" w:cs="Arial"/>
                              <w:spacing w:val="4"/>
                              <w:sz w:val="15"/>
                              <w:szCs w:val="15"/>
                            </w:rPr>
                            <w:t>No.380 Section 3 FuRong</w:t>
                          </w:r>
                          <w:r>
                            <w:rPr>
                              <w:rFonts w:ascii="Arial Narrow" w:hAnsi="Arial Narrow" w:cs="Arial"/>
                              <w:spacing w:val="4"/>
                              <w:sz w:val="15"/>
                              <w:szCs w:val="15"/>
                            </w:rPr>
                            <w:t xml:space="preserve"> </w:t>
                          </w:r>
                          <w:r>
                            <w:rPr>
                              <w:rFonts w:hint="eastAsia" w:ascii="Arial Narrow" w:hAnsi="Arial Narrow" w:cs="Arial"/>
                              <w:spacing w:val="4"/>
                              <w:sz w:val="15"/>
                              <w:szCs w:val="15"/>
                            </w:rPr>
                            <w:t xml:space="preserve">Middle </w:t>
                          </w:r>
                          <w:r>
                            <w:rPr>
                              <w:rFonts w:ascii="Arial Narrow" w:hAnsi="Arial Narrow" w:cs="Arial"/>
                              <w:spacing w:val="4"/>
                              <w:sz w:val="15"/>
                              <w:szCs w:val="15"/>
                            </w:rPr>
                            <w:t>Road,</w:t>
                          </w:r>
                          <w:r>
                            <w:rPr>
                              <w:rFonts w:hint="eastAsia" w:ascii="Arial Narrow" w:hAnsi="Arial Narrow" w:cs="Arial"/>
                              <w:spacing w:val="4"/>
                              <w:sz w:val="15"/>
                              <w:szCs w:val="15"/>
                            </w:rPr>
                            <w:t xml:space="preserve"> Changsha</w:t>
                          </w:r>
                          <w:r>
                            <w:rPr>
                              <w:rFonts w:ascii="Arial Narrow" w:hAnsi="Arial Narrow" w:cs="Arial"/>
                              <w:spacing w:val="4"/>
                              <w:sz w:val="15"/>
                              <w:szCs w:val="15"/>
                            </w:rPr>
                            <w:t>,</w:t>
                          </w:r>
                          <w:r>
                            <w:rPr>
                              <w:rFonts w:hint="eastAsia" w:ascii="Arial Narrow" w:hAnsi="Arial Narrow" w:cs="Arial"/>
                              <w:spacing w:val="4"/>
                              <w:sz w:val="15"/>
                              <w:szCs w:val="15"/>
                            </w:rPr>
                            <w:t xml:space="preserve"> </w:t>
                          </w:r>
                          <w:r>
                            <w:rPr>
                              <w:rFonts w:ascii="Arial Narrow" w:hAnsi="Arial Narrow" w:cs="Arial"/>
                              <w:spacing w:val="4"/>
                              <w:sz w:val="15"/>
                              <w:szCs w:val="15"/>
                            </w:rPr>
                            <w:t>China</w:t>
                          </w:r>
                          <w:r>
                            <w:rPr>
                              <w:rFonts w:hint="eastAsia" w:ascii="Arial Narrow" w:hAnsi="Arial Narrow" w:cs="Arial"/>
                              <w:spacing w:val="4"/>
                              <w:sz w:val="15"/>
                              <w:szCs w:val="15"/>
                            </w:rPr>
                            <w:t>, 410000</w:t>
                          </w:r>
                        </w:p>
                      </w:txbxContent>
                    </wps:txbx>
                    <wps:bodyPr rot="0" vert="horz" wrap="square" lIns="91440" tIns="45720" rIns="91440" bIns="45720" anchor="t" anchorCtr="0" upright="1">
                      <a:noAutofit/>
                    </wps:bodyPr>
                  </wps:wsp>
                </a:graphicData>
              </a:graphic>
            </wp:anchor>
          </w:drawing>
        </mc:Choice>
        <mc:Fallback>
          <w:pict>
            <v:shape id="Text Box 16" o:spid="_x0000_s1026" o:spt="202" type="#_x0000_t202" style="position:absolute;left:0pt;margin-left:167.7pt;margin-top:9pt;height:66pt;width:165pt;z-index:251657216;mso-width-relative:page;mso-height-relative:page;" filled="f" stroked="f" coordsize="21600,21600" o:gfxdata="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6AWL91QAAAAoBAAAPAAAAAAAAAAEAIAAAACIAAABkcnMvZG93bnJldi54bWxQSwECFAAUAAAA&#10;CACHTuJAgX+aVvEBAADVAwAADgAAAAAAAAABACAAAAAkAQAAZHJzL2Uyb0RvYy54bWxQSwUGAAAA&#10;AAYABgBZAQAAhwUAAAAA&#10;">
              <v:fill on="f" focussize="0,0"/>
              <v:stroke on="f"/>
              <v:imagedata o:title=""/>
              <o:lock v:ext="edit" aspectratio="f"/>
              <v:textbox>
                <w:txbxContent>
                  <w:p>
                    <w:pPr>
                      <w:spacing w:line="220" w:lineRule="exact"/>
                      <w:jc w:val="left"/>
                      <w:rPr>
                        <w:rFonts w:ascii="Arial Narrow" w:hAnsi="Arial Narrow" w:cs="Arial"/>
                        <w:spacing w:val="4"/>
                        <w:sz w:val="15"/>
                        <w:szCs w:val="15"/>
                      </w:rPr>
                    </w:pPr>
                    <w:r>
                      <w:rPr>
                        <w:rFonts w:ascii="Arial Narrow" w:hAnsi="Arial Narrow" w:cs="Arial"/>
                        <w:spacing w:val="4"/>
                        <w:sz w:val="15"/>
                        <w:szCs w:val="15"/>
                      </w:rPr>
                      <w:t>WUYIGE Certified Public Accountants.LLP</w:t>
                    </w:r>
                    <w:r>
                      <w:rPr>
                        <w:rFonts w:hint="eastAsia" w:ascii="Arial Narrow" w:hAnsi="Arial Narrow" w:cs="Arial"/>
                        <w:spacing w:val="4"/>
                        <w:sz w:val="15"/>
                        <w:szCs w:val="15"/>
                      </w:rPr>
                      <w:t xml:space="preserve"> Changsha Branch, 7</w:t>
                    </w:r>
                    <w:r>
                      <w:rPr>
                        <w:rFonts w:ascii="Arial Narrow" w:hAnsi="Arial Narrow" w:cs="Arial"/>
                        <w:spacing w:val="4"/>
                        <w:sz w:val="15"/>
                        <w:szCs w:val="15"/>
                      </w:rPr>
                      <w:t>/F,</w:t>
                    </w:r>
                    <w:r>
                      <w:rPr>
                        <w:rFonts w:hint="eastAsia" w:ascii="Arial Narrow" w:hAnsi="Arial Narrow" w:cs="Arial"/>
                        <w:spacing w:val="4"/>
                        <w:sz w:val="15"/>
                        <w:szCs w:val="15"/>
                      </w:rPr>
                      <w:t xml:space="preserve"> Jianfa</w:t>
                    </w:r>
                    <w:r>
                      <w:rPr>
                        <w:rFonts w:hint="eastAsia" w:ascii="宋体" w:hAnsi="宋体" w:cs="Arial"/>
                        <w:spacing w:val="4"/>
                        <w:sz w:val="15"/>
                        <w:szCs w:val="15"/>
                      </w:rPr>
                      <w:t>•</w:t>
                    </w:r>
                    <w:r>
                      <w:rPr>
                        <w:rFonts w:hint="eastAsia" w:ascii="Arial Narrow" w:hAnsi="Arial Narrow" w:cs="Arial"/>
                        <w:spacing w:val="4"/>
                        <w:sz w:val="15"/>
                        <w:szCs w:val="15"/>
                      </w:rPr>
                      <w:t>Huijin</w:t>
                    </w:r>
                    <w:r>
                      <w:rPr>
                        <w:rFonts w:ascii="Arial Narrow" w:hAnsi="Arial Narrow" w:cs="Arial"/>
                        <w:spacing w:val="4"/>
                        <w:sz w:val="15"/>
                        <w:szCs w:val="15"/>
                      </w:rPr>
                      <w:t xml:space="preserve"> International Tower </w:t>
                    </w:r>
                    <w:r>
                      <w:rPr>
                        <w:rFonts w:hint="eastAsia" w:ascii="Arial Narrow" w:hAnsi="Arial Narrow" w:cs="Arial"/>
                        <w:spacing w:val="4"/>
                        <w:sz w:val="15"/>
                        <w:szCs w:val="15"/>
                      </w:rPr>
                      <w:t>No.380 Section 3 FuRong</w:t>
                    </w:r>
                    <w:r>
                      <w:rPr>
                        <w:rFonts w:ascii="Arial Narrow" w:hAnsi="Arial Narrow" w:cs="Arial"/>
                        <w:spacing w:val="4"/>
                        <w:sz w:val="15"/>
                        <w:szCs w:val="15"/>
                      </w:rPr>
                      <w:t xml:space="preserve"> </w:t>
                    </w:r>
                    <w:r>
                      <w:rPr>
                        <w:rFonts w:hint="eastAsia" w:ascii="Arial Narrow" w:hAnsi="Arial Narrow" w:cs="Arial"/>
                        <w:spacing w:val="4"/>
                        <w:sz w:val="15"/>
                        <w:szCs w:val="15"/>
                      </w:rPr>
                      <w:t xml:space="preserve">Middle </w:t>
                    </w:r>
                    <w:r>
                      <w:rPr>
                        <w:rFonts w:ascii="Arial Narrow" w:hAnsi="Arial Narrow" w:cs="Arial"/>
                        <w:spacing w:val="4"/>
                        <w:sz w:val="15"/>
                        <w:szCs w:val="15"/>
                      </w:rPr>
                      <w:t>Road,</w:t>
                    </w:r>
                    <w:r>
                      <w:rPr>
                        <w:rFonts w:hint="eastAsia" w:ascii="Arial Narrow" w:hAnsi="Arial Narrow" w:cs="Arial"/>
                        <w:spacing w:val="4"/>
                        <w:sz w:val="15"/>
                        <w:szCs w:val="15"/>
                      </w:rPr>
                      <w:t xml:space="preserve"> Changsha</w:t>
                    </w:r>
                    <w:r>
                      <w:rPr>
                        <w:rFonts w:ascii="Arial Narrow" w:hAnsi="Arial Narrow" w:cs="Arial"/>
                        <w:spacing w:val="4"/>
                        <w:sz w:val="15"/>
                        <w:szCs w:val="15"/>
                      </w:rPr>
                      <w:t>,</w:t>
                    </w:r>
                    <w:r>
                      <w:rPr>
                        <w:rFonts w:hint="eastAsia" w:ascii="Arial Narrow" w:hAnsi="Arial Narrow" w:cs="Arial"/>
                        <w:spacing w:val="4"/>
                        <w:sz w:val="15"/>
                        <w:szCs w:val="15"/>
                      </w:rPr>
                      <w:t xml:space="preserve"> </w:t>
                    </w:r>
                    <w:r>
                      <w:rPr>
                        <w:rFonts w:ascii="Arial Narrow" w:hAnsi="Arial Narrow" w:cs="Arial"/>
                        <w:spacing w:val="4"/>
                        <w:sz w:val="15"/>
                        <w:szCs w:val="15"/>
                      </w:rPr>
                      <w:t>China</w:t>
                    </w:r>
                    <w:r>
                      <w:rPr>
                        <w:rFonts w:hint="eastAsia" w:ascii="Arial Narrow" w:hAnsi="Arial Narrow" w:cs="Arial"/>
                        <w:spacing w:val="4"/>
                        <w:sz w:val="15"/>
                        <w:szCs w:val="15"/>
                      </w:rPr>
                      <w:t>, 410000</w:t>
                    </w:r>
                  </w:p>
                </w:txbxContent>
              </v:textbox>
            </v:shape>
          </w:pict>
        </mc:Fallback>
      </mc:AlternateContent>
    </w:r>
    <w:r>
      <mc:AlternateContent>
        <mc:Choice Requires="wps">
          <w:drawing>
            <wp:anchor distT="0" distB="0" distL="114300" distR="114300" simplePos="0" relativeHeight="251658240" behindDoc="0" locked="0" layoutInCell="1" allowOverlap="1">
              <wp:simplePos x="0" y="0"/>
              <wp:positionH relativeFrom="column">
                <wp:posOffset>882015</wp:posOffset>
              </wp:positionH>
              <wp:positionV relativeFrom="paragraph">
                <wp:posOffset>123825</wp:posOffset>
              </wp:positionV>
              <wp:extent cx="1428750" cy="704215"/>
              <wp:effectExtent l="0" t="0" r="0" b="0"/>
              <wp:wrapNone/>
              <wp:docPr id="4" name="Text Box 15"/>
              <wp:cNvGraphicFramePr/>
              <a:graphic xmlns:a="http://schemas.openxmlformats.org/drawingml/2006/main">
                <a:graphicData uri="http://schemas.microsoft.com/office/word/2010/wordprocessingShape">
                  <wps:wsp>
                    <wps:cNvSpPr txBox="1">
                      <a:spLocks noChangeArrowheads="1"/>
                    </wps:cNvSpPr>
                    <wps:spPr bwMode="auto">
                      <a:xfrm>
                        <a:off x="0" y="0"/>
                        <a:ext cx="1428750" cy="704215"/>
                      </a:xfrm>
                      <a:prstGeom prst="rect">
                        <a:avLst/>
                      </a:prstGeom>
                      <a:noFill/>
                      <a:ln>
                        <a:noFill/>
                      </a:ln>
                      <a:effectLst/>
                    </wps:spPr>
                    <wps:txbx>
                      <w:txbxContent>
                        <w:p>
                          <w:pPr>
                            <w:spacing w:line="220" w:lineRule="exact"/>
                            <w:jc w:val="left"/>
                            <w:rPr>
                              <w:rFonts w:ascii="Arial Narrow" w:hAnsi="Arial Narrow" w:cs="Arial"/>
                              <w:spacing w:val="4"/>
                              <w:sz w:val="15"/>
                              <w:szCs w:val="15"/>
                            </w:rPr>
                          </w:pPr>
                          <w:r>
                            <w:rPr>
                              <w:rFonts w:ascii="Arial Narrow" w:hAnsi="Arial Narrow" w:cs="Arial"/>
                              <w:spacing w:val="4"/>
                              <w:sz w:val="15"/>
                              <w:szCs w:val="15"/>
                            </w:rPr>
                            <w:t>大信会计师事务所</w:t>
                          </w:r>
                          <w:r>
                            <w:rPr>
                              <w:rFonts w:hint="eastAsia" w:ascii="Arial Narrow" w:hAnsi="Arial Narrow" w:cs="Arial"/>
                              <w:spacing w:val="4"/>
                              <w:sz w:val="15"/>
                              <w:szCs w:val="15"/>
                            </w:rPr>
                            <w:t>长沙分所</w:t>
                          </w:r>
                        </w:p>
                        <w:p>
                          <w:pPr>
                            <w:spacing w:line="220" w:lineRule="exact"/>
                            <w:jc w:val="left"/>
                            <w:rPr>
                              <w:rFonts w:ascii="Arial Narrow" w:hAnsi="Arial Narrow" w:cs="Arial"/>
                              <w:spacing w:val="4"/>
                              <w:sz w:val="15"/>
                              <w:szCs w:val="15"/>
                            </w:rPr>
                          </w:pPr>
                          <w:r>
                            <w:rPr>
                              <w:rFonts w:hint="eastAsia" w:ascii="Arial Narrow" w:hAnsi="Arial Narrow" w:cs="Arial"/>
                              <w:spacing w:val="4"/>
                              <w:sz w:val="15"/>
                              <w:szCs w:val="15"/>
                            </w:rPr>
                            <w:t>长沙市芙蓉中路三段380号建发</w:t>
                          </w:r>
                          <w:r>
                            <w:rPr>
                              <w:rFonts w:hint="eastAsia" w:ascii="宋体" w:hAnsi="宋体" w:cs="Arial"/>
                              <w:spacing w:val="4"/>
                              <w:sz w:val="15"/>
                              <w:szCs w:val="15"/>
                            </w:rPr>
                            <w:t>•</w:t>
                          </w:r>
                          <w:r>
                            <w:rPr>
                              <w:rFonts w:hint="eastAsia" w:ascii="Arial Narrow" w:hAnsi="Arial Narrow" w:cs="Arial"/>
                              <w:spacing w:val="4"/>
                              <w:sz w:val="15"/>
                              <w:szCs w:val="15"/>
                            </w:rPr>
                            <w:t>汇金</w:t>
                          </w:r>
                          <w:r>
                            <w:rPr>
                              <w:rFonts w:ascii="Arial Narrow" w:hAnsi="Arial Narrow" w:cs="Arial"/>
                              <w:spacing w:val="4"/>
                              <w:sz w:val="15"/>
                              <w:szCs w:val="15"/>
                            </w:rPr>
                            <w:t>国际</w:t>
                          </w:r>
                          <w:r>
                            <w:rPr>
                              <w:rFonts w:hint="eastAsia" w:ascii="Arial Narrow" w:hAnsi="Arial Narrow" w:cs="Arial"/>
                              <w:spacing w:val="4"/>
                              <w:sz w:val="15"/>
                              <w:szCs w:val="15"/>
                            </w:rPr>
                            <w:t>9栋银座7层</w:t>
                          </w:r>
                        </w:p>
                        <w:p>
                          <w:pPr>
                            <w:spacing w:line="220" w:lineRule="exact"/>
                            <w:jc w:val="left"/>
                            <w:rPr>
                              <w:rFonts w:ascii="Arial Narrow" w:hAnsi="Arial Narrow" w:cs="Arial"/>
                              <w:sz w:val="15"/>
                              <w:szCs w:val="15"/>
                            </w:rPr>
                          </w:pPr>
                          <w:r>
                            <w:rPr>
                              <w:rFonts w:hint="eastAsia" w:ascii="Arial Narrow" w:hAnsi="Arial Narrow" w:cs="Arial"/>
                              <w:spacing w:val="4"/>
                              <w:sz w:val="15"/>
                              <w:szCs w:val="15"/>
                            </w:rPr>
                            <w:t>邮编4</w:t>
                          </w:r>
                          <w:r>
                            <w:rPr>
                              <w:rFonts w:ascii="Arial Narrow" w:hAnsi="Arial Narrow" w:cs="Arial"/>
                              <w:spacing w:val="4"/>
                              <w:sz w:val="15"/>
                              <w:szCs w:val="15"/>
                            </w:rPr>
                            <w:t>100</w:t>
                          </w:r>
                          <w:r>
                            <w:rPr>
                              <w:rFonts w:hint="eastAsia" w:ascii="Arial Narrow" w:hAnsi="Arial Narrow" w:cs="Arial"/>
                              <w:spacing w:val="4"/>
                              <w:sz w:val="15"/>
                              <w:szCs w:val="15"/>
                            </w:rPr>
                            <w:t>00</w:t>
                          </w:r>
                        </w:p>
                      </w:txbxContent>
                    </wps:txbx>
                    <wps:bodyPr rot="0" vert="horz" wrap="square" lIns="91440" tIns="45720" rIns="91440" bIns="45720" anchor="t" anchorCtr="0" upright="1">
                      <a:noAutofit/>
                    </wps:bodyPr>
                  </wps:wsp>
                </a:graphicData>
              </a:graphic>
            </wp:anchor>
          </w:drawing>
        </mc:Choice>
        <mc:Fallback>
          <w:pict>
            <v:shape id="Text Box 15" o:spid="_x0000_s1026" o:spt="202" type="#_x0000_t202" style="position:absolute;left:0pt;margin-left:69.45pt;margin-top:9.75pt;height:55.45pt;width:112.5pt;z-index:251658240;mso-width-relative:page;mso-height-relative:page;" filled="f" stroked="f" coordsize="21600,21600" o:gfxdata="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15yAb1gAAAAoBAAAPAAAAAAAAAAEAIAAAACIAAABkcnMvZG93bnJldi54bWxQSwECFAAUAAAA&#10;CACHTuJA98VAwPABAADVAwAADgAAAAAAAAABACAAAAAlAQAAZHJzL2Uyb0RvYy54bWxQSwUGAAAA&#10;AAYABgBZAQAAhwUAAAAA&#10;">
              <v:fill on="f" focussize="0,0"/>
              <v:stroke on="f"/>
              <v:imagedata o:title=""/>
              <o:lock v:ext="edit" aspectratio="f"/>
              <v:textbox>
                <w:txbxContent>
                  <w:p>
                    <w:pPr>
                      <w:spacing w:line="220" w:lineRule="exact"/>
                      <w:jc w:val="left"/>
                      <w:rPr>
                        <w:rFonts w:ascii="Arial Narrow" w:hAnsi="Arial Narrow" w:cs="Arial"/>
                        <w:spacing w:val="4"/>
                        <w:sz w:val="15"/>
                        <w:szCs w:val="15"/>
                      </w:rPr>
                    </w:pPr>
                    <w:r>
                      <w:rPr>
                        <w:rFonts w:ascii="Arial Narrow" w:hAnsi="Arial Narrow" w:cs="Arial"/>
                        <w:spacing w:val="4"/>
                        <w:sz w:val="15"/>
                        <w:szCs w:val="15"/>
                      </w:rPr>
                      <w:t>大信会计师事务所</w:t>
                    </w:r>
                    <w:r>
                      <w:rPr>
                        <w:rFonts w:hint="eastAsia" w:ascii="Arial Narrow" w:hAnsi="Arial Narrow" w:cs="Arial"/>
                        <w:spacing w:val="4"/>
                        <w:sz w:val="15"/>
                        <w:szCs w:val="15"/>
                      </w:rPr>
                      <w:t>长沙分所</w:t>
                    </w:r>
                  </w:p>
                  <w:p>
                    <w:pPr>
                      <w:spacing w:line="220" w:lineRule="exact"/>
                      <w:jc w:val="left"/>
                      <w:rPr>
                        <w:rFonts w:ascii="Arial Narrow" w:hAnsi="Arial Narrow" w:cs="Arial"/>
                        <w:spacing w:val="4"/>
                        <w:sz w:val="15"/>
                        <w:szCs w:val="15"/>
                      </w:rPr>
                    </w:pPr>
                    <w:r>
                      <w:rPr>
                        <w:rFonts w:hint="eastAsia" w:ascii="Arial Narrow" w:hAnsi="Arial Narrow" w:cs="Arial"/>
                        <w:spacing w:val="4"/>
                        <w:sz w:val="15"/>
                        <w:szCs w:val="15"/>
                      </w:rPr>
                      <w:t>长沙市芙蓉中路三段380号建发</w:t>
                    </w:r>
                    <w:r>
                      <w:rPr>
                        <w:rFonts w:hint="eastAsia" w:ascii="宋体" w:hAnsi="宋体" w:cs="Arial"/>
                        <w:spacing w:val="4"/>
                        <w:sz w:val="15"/>
                        <w:szCs w:val="15"/>
                      </w:rPr>
                      <w:t>•</w:t>
                    </w:r>
                    <w:r>
                      <w:rPr>
                        <w:rFonts w:hint="eastAsia" w:ascii="Arial Narrow" w:hAnsi="Arial Narrow" w:cs="Arial"/>
                        <w:spacing w:val="4"/>
                        <w:sz w:val="15"/>
                        <w:szCs w:val="15"/>
                      </w:rPr>
                      <w:t>汇金</w:t>
                    </w:r>
                    <w:r>
                      <w:rPr>
                        <w:rFonts w:ascii="Arial Narrow" w:hAnsi="Arial Narrow" w:cs="Arial"/>
                        <w:spacing w:val="4"/>
                        <w:sz w:val="15"/>
                        <w:szCs w:val="15"/>
                      </w:rPr>
                      <w:t>国际</w:t>
                    </w:r>
                    <w:r>
                      <w:rPr>
                        <w:rFonts w:hint="eastAsia" w:ascii="Arial Narrow" w:hAnsi="Arial Narrow" w:cs="Arial"/>
                        <w:spacing w:val="4"/>
                        <w:sz w:val="15"/>
                        <w:szCs w:val="15"/>
                      </w:rPr>
                      <w:t>9栋银座7层</w:t>
                    </w:r>
                  </w:p>
                  <w:p>
                    <w:pPr>
                      <w:spacing w:line="220" w:lineRule="exact"/>
                      <w:jc w:val="left"/>
                      <w:rPr>
                        <w:rFonts w:ascii="Arial Narrow" w:hAnsi="Arial Narrow" w:cs="Arial"/>
                        <w:sz w:val="15"/>
                        <w:szCs w:val="15"/>
                      </w:rPr>
                    </w:pPr>
                    <w:r>
                      <w:rPr>
                        <w:rFonts w:hint="eastAsia" w:ascii="Arial Narrow" w:hAnsi="Arial Narrow" w:cs="Arial"/>
                        <w:spacing w:val="4"/>
                        <w:sz w:val="15"/>
                        <w:szCs w:val="15"/>
                      </w:rPr>
                      <w:t>邮编4</w:t>
                    </w:r>
                    <w:r>
                      <w:rPr>
                        <w:rFonts w:ascii="Arial Narrow" w:hAnsi="Arial Narrow" w:cs="Arial"/>
                        <w:spacing w:val="4"/>
                        <w:sz w:val="15"/>
                        <w:szCs w:val="15"/>
                      </w:rPr>
                      <w:t>100</w:t>
                    </w:r>
                    <w:r>
                      <w:rPr>
                        <w:rFonts w:hint="eastAsia" w:ascii="Arial Narrow" w:hAnsi="Arial Narrow" w:cs="Arial"/>
                        <w:spacing w:val="4"/>
                        <w:sz w:val="15"/>
                        <w:szCs w:val="15"/>
                      </w:rPr>
                      <w:t>00</w:t>
                    </w:r>
                  </w:p>
                </w:txbxContent>
              </v:textbox>
            </v:shape>
          </w:pict>
        </mc:Fallback>
      </mc:AlternateContent>
    </w:r>
    <w:r>
      <w:drawing>
        <wp:inline distT="0" distB="0" distL="0" distR="0">
          <wp:extent cx="885825" cy="4572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885825" cy="457200"/>
                  </a:xfrm>
                  <a:prstGeom prst="rect">
                    <a:avLst/>
                  </a:prstGeom>
                  <a:noFill/>
                  <a:ln>
                    <a:noFill/>
                  </a:ln>
                </pic:spPr>
              </pic:pic>
            </a:graphicData>
          </a:graphic>
        </wp:inline>
      </w:drawing>
    </w:r>
  </w:p>
  <w:p/>
  <w:p/>
  <w:p/>
  <w:p/>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Bdr>
        <w:bottom w:val="single" w:color="auto" w:sz="6" w:space="0"/>
      </w:pBdr>
      <w:spacing w:line="360" w:lineRule="auto"/>
      <w:jc w:val="right"/>
    </w:pPr>
    <w:r>
      <w:rPr>
        <w:rFonts w:hint="eastAsia"/>
      </w:rPr>
      <w:t>长沙大眼仔旅游文化有限责任公司</w:t>
    </w:r>
  </w:p>
  <w:p>
    <w:pPr>
      <w:pStyle w:val="20"/>
      <w:pBdr>
        <w:bottom w:val="single" w:color="auto" w:sz="6" w:space="0"/>
      </w:pBdr>
      <w:spacing w:line="360" w:lineRule="auto"/>
      <w:jc w:val="right"/>
      <w:rPr>
        <w:rFonts w:cs="隶书" w:asciiTheme="minorEastAsia" w:hAnsiTheme="minorEastAsia" w:eastAsiaTheme="minorEastAsia"/>
        <w:kern w:val="0"/>
      </w:rPr>
    </w:pPr>
    <w:r>
      <w:rPr>
        <w:rFonts w:hint="eastAsia" w:cs="隶书" w:asciiTheme="minorEastAsia" w:hAnsiTheme="minorEastAsia" w:eastAsiaTheme="minorEastAsia"/>
        <w:kern w:val="0"/>
      </w:rPr>
      <w:t>财务报表附注</w:t>
    </w:r>
  </w:p>
  <w:p>
    <w:pPr>
      <w:pStyle w:val="20"/>
      <w:pBdr>
        <w:bottom w:val="single" w:color="auto" w:sz="6" w:space="0"/>
      </w:pBdr>
      <w:spacing w:line="360" w:lineRule="auto"/>
      <w:jc w:val="right"/>
      <w:rPr>
        <w:rFonts w:cs="隶书" w:asciiTheme="minorEastAsia" w:hAnsiTheme="minorEastAsia" w:eastAsiaTheme="minorEastAsia"/>
        <w:kern w:val="0"/>
      </w:rPr>
    </w:pPr>
    <w:r>
      <w:rPr>
        <w:rFonts w:hint="eastAsia" w:asciiTheme="minorEastAsia" w:hAnsiTheme="minorEastAsia" w:eastAsiaTheme="minorEastAsia"/>
        <w:bCs/>
        <w:kern w:val="0"/>
      </w:rPr>
      <w:t>201</w:t>
    </w:r>
    <w:r>
      <w:rPr>
        <w:rFonts w:hint="eastAsia" w:ascii="宋体" w:hAnsi="宋体"/>
        <w:bCs/>
        <w:kern w:val="0"/>
      </w:rPr>
      <w:t>7</w:t>
    </w:r>
    <w:r>
      <w:rPr>
        <w:rFonts w:hint="eastAsia" w:asciiTheme="minorEastAsia" w:hAnsiTheme="minorEastAsia" w:eastAsiaTheme="minorEastAsia"/>
        <w:bCs/>
        <w:kern w:val="0"/>
      </w:rPr>
      <w:t>年1月1日—201</w:t>
    </w:r>
    <w:r>
      <w:rPr>
        <w:rFonts w:hint="eastAsia" w:ascii="宋体" w:hAnsi="宋体"/>
        <w:bCs/>
        <w:kern w:val="0"/>
      </w:rPr>
      <w:t>7</w:t>
    </w:r>
    <w:r>
      <w:rPr>
        <w:rFonts w:hint="eastAsia" w:asciiTheme="minorEastAsia" w:hAnsiTheme="minorEastAsia" w:eastAsiaTheme="minorEastAsia"/>
        <w:bCs/>
        <w:kern w:val="0"/>
      </w:rPr>
      <w:t>年12月31日</w:t>
    </w:r>
  </w:p>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A68C7"/>
    <w:multiLevelType w:val="multilevel"/>
    <w:tmpl w:val="039A68C7"/>
    <w:lvl w:ilvl="0" w:tentative="0">
      <w:start w:val="1"/>
      <w:numFmt w:val="decimal"/>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15DD69F8"/>
    <w:multiLevelType w:val="multilevel"/>
    <w:tmpl w:val="15DD69F8"/>
    <w:lvl w:ilvl="0" w:tentative="0">
      <w:start w:val="1"/>
      <w:numFmt w:val="upperRoman"/>
      <w:pStyle w:val="2"/>
      <w:lvlText w:val="第 %1 条"/>
      <w:lvlJc w:val="left"/>
      <w:pPr>
        <w:tabs>
          <w:tab w:val="left" w:pos="1440"/>
        </w:tabs>
      </w:pPr>
      <w:rPr>
        <w:rFonts w:cs="Times New Roman"/>
      </w:rPr>
    </w:lvl>
    <w:lvl w:ilvl="1" w:tentative="0">
      <w:start w:val="1"/>
      <w:numFmt w:val="decimalZero"/>
      <w:isLgl/>
      <w:lvlText w:val="节 %1.%2"/>
      <w:lvlJc w:val="left"/>
      <w:pPr>
        <w:tabs>
          <w:tab w:val="left" w:pos="720"/>
        </w:tabs>
      </w:pPr>
      <w:rPr>
        <w:rFonts w:cs="Times New Roman"/>
      </w:rPr>
    </w:lvl>
    <w:lvl w:ilvl="2" w:tentative="0">
      <w:start w:val="1"/>
      <w:numFmt w:val="lowerLetter"/>
      <w:lvlText w:val="(%3)"/>
      <w:lvlJc w:val="left"/>
      <w:pPr>
        <w:tabs>
          <w:tab w:val="left" w:pos="720"/>
        </w:tabs>
        <w:ind w:left="720" w:hanging="432"/>
      </w:pPr>
      <w:rPr>
        <w:rFonts w:cs="Times New Roman"/>
      </w:rPr>
    </w:lvl>
    <w:lvl w:ilvl="3" w:tentative="0">
      <w:start w:val="1"/>
      <w:numFmt w:val="lowerRoman"/>
      <w:lvlText w:val="(%4)"/>
      <w:lvlJc w:val="right"/>
      <w:pPr>
        <w:tabs>
          <w:tab w:val="left" w:pos="864"/>
        </w:tabs>
        <w:ind w:left="864" w:hanging="144"/>
      </w:pPr>
      <w:rPr>
        <w:rFonts w:cs="Times New Roman"/>
      </w:rPr>
    </w:lvl>
    <w:lvl w:ilvl="4" w:tentative="0">
      <w:start w:val="1"/>
      <w:numFmt w:val="decimal"/>
      <w:lvlText w:val="%5)"/>
      <w:lvlJc w:val="left"/>
      <w:pPr>
        <w:tabs>
          <w:tab w:val="left" w:pos="1008"/>
        </w:tabs>
        <w:ind w:left="1008" w:hanging="432"/>
      </w:pPr>
      <w:rPr>
        <w:rFonts w:cs="Times New Roman"/>
      </w:rPr>
    </w:lvl>
    <w:lvl w:ilvl="5" w:tentative="0">
      <w:start w:val="1"/>
      <w:numFmt w:val="lowerLetter"/>
      <w:lvlText w:val="%6)"/>
      <w:lvlJc w:val="left"/>
      <w:pPr>
        <w:tabs>
          <w:tab w:val="left" w:pos="1152"/>
        </w:tabs>
        <w:ind w:left="1152" w:hanging="432"/>
      </w:pPr>
      <w:rPr>
        <w:rFonts w:cs="Times New Roman"/>
      </w:rPr>
    </w:lvl>
    <w:lvl w:ilvl="6" w:tentative="0">
      <w:start w:val="1"/>
      <w:numFmt w:val="lowerRoman"/>
      <w:lvlText w:val="%7)"/>
      <w:lvlJc w:val="right"/>
      <w:pPr>
        <w:tabs>
          <w:tab w:val="left" w:pos="1296"/>
        </w:tabs>
        <w:ind w:left="1296" w:hanging="288"/>
      </w:pPr>
      <w:rPr>
        <w:rFonts w:cs="Times New Roman"/>
      </w:rPr>
    </w:lvl>
    <w:lvl w:ilvl="7" w:tentative="0">
      <w:start w:val="1"/>
      <w:numFmt w:val="lowerLetter"/>
      <w:lvlText w:val="%8."/>
      <w:lvlJc w:val="left"/>
      <w:pPr>
        <w:tabs>
          <w:tab w:val="left" w:pos="1440"/>
        </w:tabs>
        <w:ind w:left="1440" w:hanging="432"/>
      </w:pPr>
      <w:rPr>
        <w:rFonts w:cs="Times New Roman"/>
      </w:rPr>
    </w:lvl>
    <w:lvl w:ilvl="8" w:tentative="0">
      <w:start w:val="1"/>
      <w:numFmt w:val="lowerRoman"/>
      <w:lvlText w:val="%9."/>
      <w:lvlJc w:val="right"/>
      <w:pPr>
        <w:tabs>
          <w:tab w:val="left" w:pos="1584"/>
        </w:tabs>
        <w:ind w:left="1584" w:hanging="144"/>
      </w:pPr>
      <w:rPr>
        <w:rFonts w:cs="Times New Roman"/>
      </w:rPr>
    </w:lvl>
  </w:abstractNum>
  <w:abstractNum w:abstractNumId="2">
    <w:nsid w:val="317E6133"/>
    <w:multiLevelType w:val="multilevel"/>
    <w:tmpl w:val="317E6133"/>
    <w:lvl w:ilvl="0" w:tentative="0">
      <w:start w:val="1"/>
      <w:numFmt w:val="chineseCountingThousand"/>
      <w:lvlText w:val="(%1)"/>
      <w:lvlJc w:val="left"/>
      <w:pPr>
        <w:ind w:left="704" w:hanging="420"/>
      </w:pPr>
      <w:rPr>
        <w:rFonts w:hint="eastAsia"/>
      </w:rPr>
    </w:lvl>
    <w:lvl w:ilvl="1" w:tentative="0">
      <w:start w:val="1"/>
      <w:numFmt w:val="lowerLetter"/>
      <w:lvlText w:val="%2)"/>
      <w:lvlJc w:val="left"/>
      <w:pPr>
        <w:ind w:left="1124" w:hanging="420"/>
      </w:pPr>
    </w:lvl>
    <w:lvl w:ilvl="2" w:tentative="0">
      <w:start w:val="1"/>
      <w:numFmt w:val="lowerRoman"/>
      <w:lvlText w:val="%3."/>
      <w:lvlJc w:val="right"/>
      <w:pPr>
        <w:ind w:left="1544" w:hanging="420"/>
      </w:pPr>
    </w:lvl>
    <w:lvl w:ilvl="3" w:tentative="0">
      <w:start w:val="1"/>
      <w:numFmt w:val="decimal"/>
      <w:lvlText w:val="%4."/>
      <w:lvlJc w:val="left"/>
      <w:pPr>
        <w:ind w:left="1964" w:hanging="420"/>
      </w:pPr>
    </w:lvl>
    <w:lvl w:ilvl="4" w:tentative="0">
      <w:start w:val="1"/>
      <w:numFmt w:val="lowerLetter"/>
      <w:lvlText w:val="%5)"/>
      <w:lvlJc w:val="left"/>
      <w:pPr>
        <w:ind w:left="2384" w:hanging="420"/>
      </w:pPr>
    </w:lvl>
    <w:lvl w:ilvl="5" w:tentative="0">
      <w:start w:val="1"/>
      <w:numFmt w:val="lowerRoman"/>
      <w:lvlText w:val="%6."/>
      <w:lvlJc w:val="right"/>
      <w:pPr>
        <w:ind w:left="2804" w:hanging="420"/>
      </w:pPr>
    </w:lvl>
    <w:lvl w:ilvl="6" w:tentative="0">
      <w:start w:val="1"/>
      <w:numFmt w:val="decimal"/>
      <w:lvlText w:val="%7."/>
      <w:lvlJc w:val="left"/>
      <w:pPr>
        <w:ind w:left="3224" w:hanging="420"/>
      </w:pPr>
    </w:lvl>
    <w:lvl w:ilvl="7" w:tentative="0">
      <w:start w:val="1"/>
      <w:numFmt w:val="lowerLetter"/>
      <w:lvlText w:val="%8)"/>
      <w:lvlJc w:val="left"/>
      <w:pPr>
        <w:ind w:left="3644" w:hanging="420"/>
      </w:pPr>
    </w:lvl>
    <w:lvl w:ilvl="8" w:tentative="0">
      <w:start w:val="1"/>
      <w:numFmt w:val="lowerRoman"/>
      <w:lvlText w:val="%9."/>
      <w:lvlJc w:val="right"/>
      <w:pPr>
        <w:ind w:left="4064" w:hanging="420"/>
      </w:pPr>
    </w:lvl>
  </w:abstractNum>
  <w:abstractNum w:abstractNumId="3">
    <w:nsid w:val="36657A6C"/>
    <w:multiLevelType w:val="multilevel"/>
    <w:tmpl w:val="36657A6C"/>
    <w:lvl w:ilvl="0" w:tentative="0">
      <w:start w:val="1"/>
      <w:numFmt w:val="chineseCountingThousand"/>
      <w:pStyle w:val="63"/>
      <w:lvlText w:val="%1、"/>
      <w:lvlJc w:val="left"/>
      <w:pPr>
        <w:tabs>
          <w:tab w:val="left" w:pos="444"/>
        </w:tabs>
        <w:ind w:left="444" w:hanging="420"/>
      </w:pPr>
      <w:rPr>
        <w:rFonts w:hint="default" w:cs="Times New Roman"/>
      </w:rPr>
    </w:lvl>
    <w:lvl w:ilvl="1" w:tentative="0">
      <w:start w:val="1"/>
      <w:numFmt w:val="chineseCountingThousand"/>
      <w:lvlText w:val="(%2)"/>
      <w:lvlJc w:val="left"/>
      <w:pPr>
        <w:tabs>
          <w:tab w:val="left" w:pos="450"/>
        </w:tabs>
        <w:ind w:left="450" w:hanging="420"/>
      </w:pPr>
      <w:rPr>
        <w:rFonts w:hint="default" w:cs="Times New Roman"/>
      </w:rPr>
    </w:lvl>
    <w:lvl w:ilvl="2" w:tentative="0">
      <w:start w:val="1"/>
      <w:numFmt w:val="lowerRoman"/>
      <w:lvlText w:val="%3."/>
      <w:lvlJc w:val="right"/>
      <w:pPr>
        <w:tabs>
          <w:tab w:val="left" w:pos="1284"/>
        </w:tabs>
        <w:ind w:left="1284" w:hanging="420"/>
      </w:pPr>
      <w:rPr>
        <w:rFonts w:cs="Times New Roman"/>
      </w:rPr>
    </w:lvl>
    <w:lvl w:ilvl="3" w:tentative="0">
      <w:start w:val="1"/>
      <w:numFmt w:val="decimal"/>
      <w:lvlText w:val="%4."/>
      <w:lvlJc w:val="left"/>
      <w:pPr>
        <w:tabs>
          <w:tab w:val="left" w:pos="1704"/>
        </w:tabs>
        <w:ind w:left="1704" w:hanging="420"/>
      </w:pPr>
      <w:rPr>
        <w:rFonts w:cs="Times New Roman"/>
      </w:rPr>
    </w:lvl>
    <w:lvl w:ilvl="4" w:tentative="0">
      <w:start w:val="1"/>
      <w:numFmt w:val="lowerLetter"/>
      <w:lvlText w:val="%5)"/>
      <w:lvlJc w:val="left"/>
      <w:pPr>
        <w:tabs>
          <w:tab w:val="left" w:pos="2124"/>
        </w:tabs>
        <w:ind w:left="2124" w:hanging="420"/>
      </w:pPr>
      <w:rPr>
        <w:rFonts w:cs="Times New Roman"/>
      </w:rPr>
    </w:lvl>
    <w:lvl w:ilvl="5" w:tentative="0">
      <w:start w:val="1"/>
      <w:numFmt w:val="lowerRoman"/>
      <w:lvlText w:val="%6."/>
      <w:lvlJc w:val="right"/>
      <w:pPr>
        <w:tabs>
          <w:tab w:val="left" w:pos="2544"/>
        </w:tabs>
        <w:ind w:left="2544" w:hanging="420"/>
      </w:pPr>
      <w:rPr>
        <w:rFonts w:cs="Times New Roman"/>
      </w:rPr>
    </w:lvl>
    <w:lvl w:ilvl="6" w:tentative="0">
      <w:start w:val="1"/>
      <w:numFmt w:val="decimal"/>
      <w:lvlText w:val="%7."/>
      <w:lvlJc w:val="left"/>
      <w:pPr>
        <w:tabs>
          <w:tab w:val="left" w:pos="2964"/>
        </w:tabs>
        <w:ind w:left="2964" w:hanging="420"/>
      </w:pPr>
      <w:rPr>
        <w:rFonts w:cs="Times New Roman"/>
      </w:rPr>
    </w:lvl>
    <w:lvl w:ilvl="7" w:tentative="0">
      <w:start w:val="1"/>
      <w:numFmt w:val="lowerLetter"/>
      <w:lvlText w:val="%8)"/>
      <w:lvlJc w:val="left"/>
      <w:pPr>
        <w:tabs>
          <w:tab w:val="left" w:pos="3384"/>
        </w:tabs>
        <w:ind w:left="3384" w:hanging="420"/>
      </w:pPr>
      <w:rPr>
        <w:rFonts w:cs="Times New Roman"/>
      </w:rPr>
    </w:lvl>
    <w:lvl w:ilvl="8" w:tentative="0">
      <w:start w:val="1"/>
      <w:numFmt w:val="lowerRoman"/>
      <w:lvlText w:val="%9."/>
      <w:lvlJc w:val="right"/>
      <w:pPr>
        <w:tabs>
          <w:tab w:val="left" w:pos="3804"/>
        </w:tabs>
        <w:ind w:left="3804" w:hanging="420"/>
      </w:pPr>
      <w:rPr>
        <w:rFonts w:cs="Times New Roman"/>
      </w:rPr>
    </w:lvl>
  </w:abstractNum>
  <w:abstractNum w:abstractNumId="4">
    <w:nsid w:val="3E6D19C2"/>
    <w:multiLevelType w:val="multilevel"/>
    <w:tmpl w:val="3E6D19C2"/>
    <w:lvl w:ilvl="0" w:tentative="0">
      <w:start w:val="1"/>
      <w:numFmt w:val="japaneseCounting"/>
      <w:lvlText w:val="%1、"/>
      <w:lvlJc w:val="left"/>
      <w:pPr>
        <w:ind w:left="900" w:hanging="4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5">
    <w:nsid w:val="5A2E582B"/>
    <w:multiLevelType w:val="multilevel"/>
    <w:tmpl w:val="5A2E582B"/>
    <w:lvl w:ilvl="0" w:tentative="0">
      <w:start w:val="1"/>
      <w:numFmt w:val="chineseCountingThousand"/>
      <w:lvlText w:val="(%1)"/>
      <w:lvlJc w:val="left"/>
      <w:pPr>
        <w:ind w:left="842" w:hanging="420"/>
      </w:pPr>
    </w:lvl>
    <w:lvl w:ilvl="1" w:tentative="0">
      <w:start w:val="1"/>
      <w:numFmt w:val="lowerLetter"/>
      <w:lvlText w:val="%2)"/>
      <w:lvlJc w:val="left"/>
      <w:pPr>
        <w:ind w:left="1262" w:hanging="420"/>
      </w:pPr>
    </w:lvl>
    <w:lvl w:ilvl="2" w:tentative="0">
      <w:start w:val="1"/>
      <w:numFmt w:val="lowerRoman"/>
      <w:lvlText w:val="%3."/>
      <w:lvlJc w:val="right"/>
      <w:pPr>
        <w:ind w:left="1682" w:hanging="420"/>
      </w:pPr>
    </w:lvl>
    <w:lvl w:ilvl="3" w:tentative="0">
      <w:start w:val="1"/>
      <w:numFmt w:val="decimal"/>
      <w:lvlText w:val="%4."/>
      <w:lvlJc w:val="left"/>
      <w:pPr>
        <w:ind w:left="2102" w:hanging="420"/>
      </w:pPr>
    </w:lvl>
    <w:lvl w:ilvl="4" w:tentative="0">
      <w:start w:val="1"/>
      <w:numFmt w:val="lowerLetter"/>
      <w:lvlText w:val="%5)"/>
      <w:lvlJc w:val="left"/>
      <w:pPr>
        <w:ind w:left="2522" w:hanging="420"/>
      </w:pPr>
    </w:lvl>
    <w:lvl w:ilvl="5" w:tentative="0">
      <w:start w:val="1"/>
      <w:numFmt w:val="lowerRoman"/>
      <w:lvlText w:val="%6."/>
      <w:lvlJc w:val="right"/>
      <w:pPr>
        <w:ind w:left="2942" w:hanging="420"/>
      </w:pPr>
    </w:lvl>
    <w:lvl w:ilvl="6" w:tentative="0">
      <w:start w:val="1"/>
      <w:numFmt w:val="decimal"/>
      <w:lvlText w:val="%7."/>
      <w:lvlJc w:val="left"/>
      <w:pPr>
        <w:ind w:left="3362" w:hanging="420"/>
      </w:pPr>
    </w:lvl>
    <w:lvl w:ilvl="7" w:tentative="0">
      <w:start w:val="1"/>
      <w:numFmt w:val="lowerLetter"/>
      <w:lvlText w:val="%8)"/>
      <w:lvlJc w:val="left"/>
      <w:pPr>
        <w:ind w:left="3782" w:hanging="420"/>
      </w:pPr>
    </w:lvl>
    <w:lvl w:ilvl="8" w:tentative="0">
      <w:start w:val="1"/>
      <w:numFmt w:val="lowerRoman"/>
      <w:lvlText w:val="%9."/>
      <w:lvlJc w:val="right"/>
      <w:pPr>
        <w:ind w:left="4202" w:hanging="420"/>
      </w:pPr>
    </w:lvl>
  </w:abstractNum>
  <w:abstractNum w:abstractNumId="6">
    <w:nsid w:val="5AA3D88D"/>
    <w:multiLevelType w:val="singleLevel"/>
    <w:tmpl w:val="5AA3D88D"/>
    <w:lvl w:ilvl="0" w:tentative="0">
      <w:start w:val="2"/>
      <w:numFmt w:val="decimal"/>
      <w:suff w:val="nothing"/>
      <w:lvlText w:val="%1、"/>
      <w:lvlJc w:val="left"/>
    </w:lvl>
  </w:abstractNum>
  <w:abstractNum w:abstractNumId="7">
    <w:nsid w:val="5AA4C287"/>
    <w:multiLevelType w:val="singleLevel"/>
    <w:tmpl w:val="5AA4C287"/>
    <w:lvl w:ilvl="0" w:tentative="0">
      <w:start w:val="1"/>
      <w:numFmt w:val="decimal"/>
      <w:suff w:val="nothing"/>
      <w:lvlText w:val="%1、"/>
      <w:lvlJc w:val="left"/>
    </w:lvl>
  </w:abstractNum>
  <w:abstractNum w:abstractNumId="8">
    <w:nsid w:val="71620A39"/>
    <w:multiLevelType w:val="multilevel"/>
    <w:tmpl w:val="71620A39"/>
    <w:lvl w:ilvl="0" w:tentative="0">
      <w:start w:val="1"/>
      <w:numFmt w:val="chineseCountingThousand"/>
      <w:lvlText w:val="(%1)"/>
      <w:lvlJc w:val="left"/>
      <w:pPr>
        <w:ind w:left="842" w:hanging="420"/>
      </w:pPr>
    </w:lvl>
    <w:lvl w:ilvl="1" w:tentative="0">
      <w:start w:val="1"/>
      <w:numFmt w:val="lowerLetter"/>
      <w:lvlText w:val="%2)"/>
      <w:lvlJc w:val="left"/>
      <w:pPr>
        <w:ind w:left="1262" w:hanging="420"/>
      </w:pPr>
    </w:lvl>
    <w:lvl w:ilvl="2" w:tentative="0">
      <w:start w:val="1"/>
      <w:numFmt w:val="lowerRoman"/>
      <w:lvlText w:val="%3."/>
      <w:lvlJc w:val="right"/>
      <w:pPr>
        <w:ind w:left="1682" w:hanging="420"/>
      </w:pPr>
    </w:lvl>
    <w:lvl w:ilvl="3" w:tentative="0">
      <w:start w:val="1"/>
      <w:numFmt w:val="decimal"/>
      <w:lvlText w:val="%4."/>
      <w:lvlJc w:val="left"/>
      <w:pPr>
        <w:ind w:left="2102" w:hanging="420"/>
      </w:pPr>
    </w:lvl>
    <w:lvl w:ilvl="4" w:tentative="0">
      <w:start w:val="1"/>
      <w:numFmt w:val="lowerLetter"/>
      <w:lvlText w:val="%5)"/>
      <w:lvlJc w:val="left"/>
      <w:pPr>
        <w:ind w:left="2522" w:hanging="420"/>
      </w:pPr>
    </w:lvl>
    <w:lvl w:ilvl="5" w:tentative="0">
      <w:start w:val="1"/>
      <w:numFmt w:val="lowerRoman"/>
      <w:lvlText w:val="%6."/>
      <w:lvlJc w:val="right"/>
      <w:pPr>
        <w:ind w:left="2942" w:hanging="420"/>
      </w:pPr>
    </w:lvl>
    <w:lvl w:ilvl="6" w:tentative="0">
      <w:start w:val="1"/>
      <w:numFmt w:val="decimal"/>
      <w:lvlText w:val="%7."/>
      <w:lvlJc w:val="left"/>
      <w:pPr>
        <w:ind w:left="3362" w:hanging="420"/>
      </w:pPr>
    </w:lvl>
    <w:lvl w:ilvl="7" w:tentative="0">
      <w:start w:val="1"/>
      <w:numFmt w:val="lowerLetter"/>
      <w:lvlText w:val="%8)"/>
      <w:lvlJc w:val="left"/>
      <w:pPr>
        <w:ind w:left="3782" w:hanging="420"/>
      </w:pPr>
    </w:lvl>
    <w:lvl w:ilvl="8" w:tentative="0">
      <w:start w:val="1"/>
      <w:numFmt w:val="lowerRoman"/>
      <w:lvlText w:val="%9."/>
      <w:lvlJc w:val="right"/>
      <w:pPr>
        <w:ind w:left="4202" w:hanging="420"/>
      </w:pPr>
    </w:lvl>
  </w:abstractNum>
  <w:abstractNum w:abstractNumId="9">
    <w:nsid w:val="79772334"/>
    <w:multiLevelType w:val="multilevel"/>
    <w:tmpl w:val="79772334"/>
    <w:lvl w:ilvl="0" w:tentative="0">
      <w:start w:val="1"/>
      <w:numFmt w:val="decimal"/>
      <w:lvlText w:val="%1、"/>
      <w:lvlJc w:val="left"/>
      <w:pPr>
        <w:ind w:left="784" w:hanging="360"/>
      </w:pPr>
      <w:rPr>
        <w:rFonts w:hint="default"/>
      </w:rPr>
    </w:lvl>
    <w:lvl w:ilvl="1" w:tentative="0">
      <w:start w:val="1"/>
      <w:numFmt w:val="lowerLetter"/>
      <w:lvlText w:val="%2)"/>
      <w:lvlJc w:val="left"/>
      <w:pPr>
        <w:ind w:left="1264" w:hanging="420"/>
      </w:pPr>
    </w:lvl>
    <w:lvl w:ilvl="2" w:tentative="0">
      <w:start w:val="1"/>
      <w:numFmt w:val="lowerRoman"/>
      <w:lvlText w:val="%3."/>
      <w:lvlJc w:val="right"/>
      <w:pPr>
        <w:ind w:left="1684" w:hanging="420"/>
      </w:pPr>
    </w:lvl>
    <w:lvl w:ilvl="3" w:tentative="0">
      <w:start w:val="1"/>
      <w:numFmt w:val="decimal"/>
      <w:lvlText w:val="%4."/>
      <w:lvlJc w:val="left"/>
      <w:pPr>
        <w:ind w:left="2104" w:hanging="420"/>
      </w:pPr>
    </w:lvl>
    <w:lvl w:ilvl="4" w:tentative="0">
      <w:start w:val="1"/>
      <w:numFmt w:val="lowerLetter"/>
      <w:lvlText w:val="%5)"/>
      <w:lvlJc w:val="left"/>
      <w:pPr>
        <w:ind w:left="2524" w:hanging="420"/>
      </w:pPr>
    </w:lvl>
    <w:lvl w:ilvl="5" w:tentative="0">
      <w:start w:val="1"/>
      <w:numFmt w:val="lowerRoman"/>
      <w:lvlText w:val="%6."/>
      <w:lvlJc w:val="right"/>
      <w:pPr>
        <w:ind w:left="2944" w:hanging="420"/>
      </w:pPr>
    </w:lvl>
    <w:lvl w:ilvl="6" w:tentative="0">
      <w:start w:val="1"/>
      <w:numFmt w:val="decimal"/>
      <w:lvlText w:val="%7."/>
      <w:lvlJc w:val="left"/>
      <w:pPr>
        <w:ind w:left="3364" w:hanging="420"/>
      </w:pPr>
    </w:lvl>
    <w:lvl w:ilvl="7" w:tentative="0">
      <w:start w:val="1"/>
      <w:numFmt w:val="lowerLetter"/>
      <w:lvlText w:val="%8)"/>
      <w:lvlJc w:val="left"/>
      <w:pPr>
        <w:ind w:left="3784" w:hanging="420"/>
      </w:pPr>
    </w:lvl>
    <w:lvl w:ilvl="8" w:tentative="0">
      <w:start w:val="1"/>
      <w:numFmt w:val="lowerRoman"/>
      <w:lvlText w:val="%9."/>
      <w:lvlJc w:val="right"/>
      <w:pPr>
        <w:ind w:left="4204" w:hanging="420"/>
      </w:pPr>
    </w:lvl>
  </w:abstractNum>
  <w:abstractNum w:abstractNumId="10">
    <w:nsid w:val="7F344247"/>
    <w:multiLevelType w:val="multilevel"/>
    <w:tmpl w:val="7F344247"/>
    <w:lvl w:ilvl="0" w:tentative="0">
      <w:start w:val="1"/>
      <w:numFmt w:val="chineseCountingThousand"/>
      <w:lvlText w:val="(%1)"/>
      <w:lvlJc w:val="left"/>
      <w:pPr>
        <w:ind w:left="842" w:hanging="420"/>
      </w:pPr>
    </w:lvl>
    <w:lvl w:ilvl="1" w:tentative="0">
      <w:start w:val="1"/>
      <w:numFmt w:val="decimal"/>
      <w:lvlText w:val="%2、"/>
      <w:lvlJc w:val="left"/>
      <w:pPr>
        <w:ind w:left="644" w:hanging="360"/>
      </w:pPr>
      <w:rPr>
        <w:rFonts w:hint="default"/>
      </w:rPr>
    </w:lvl>
    <w:lvl w:ilvl="2" w:tentative="0">
      <w:start w:val="1"/>
      <w:numFmt w:val="lowerRoman"/>
      <w:lvlText w:val="%3."/>
      <w:lvlJc w:val="right"/>
      <w:pPr>
        <w:ind w:left="1682" w:hanging="420"/>
      </w:pPr>
    </w:lvl>
    <w:lvl w:ilvl="3" w:tentative="0">
      <w:start w:val="1"/>
      <w:numFmt w:val="decimal"/>
      <w:lvlText w:val="%4."/>
      <w:lvlJc w:val="left"/>
      <w:pPr>
        <w:ind w:left="2102" w:hanging="420"/>
      </w:pPr>
    </w:lvl>
    <w:lvl w:ilvl="4" w:tentative="0">
      <w:start w:val="1"/>
      <w:numFmt w:val="lowerLetter"/>
      <w:lvlText w:val="%5)"/>
      <w:lvlJc w:val="left"/>
      <w:pPr>
        <w:ind w:left="2522" w:hanging="420"/>
      </w:pPr>
    </w:lvl>
    <w:lvl w:ilvl="5" w:tentative="0">
      <w:start w:val="1"/>
      <w:numFmt w:val="lowerRoman"/>
      <w:lvlText w:val="%6."/>
      <w:lvlJc w:val="right"/>
      <w:pPr>
        <w:ind w:left="2942" w:hanging="420"/>
      </w:pPr>
    </w:lvl>
    <w:lvl w:ilvl="6" w:tentative="0">
      <w:start w:val="1"/>
      <w:numFmt w:val="decimal"/>
      <w:lvlText w:val="%7."/>
      <w:lvlJc w:val="left"/>
      <w:pPr>
        <w:ind w:left="3362" w:hanging="420"/>
      </w:pPr>
    </w:lvl>
    <w:lvl w:ilvl="7" w:tentative="0">
      <w:start w:val="1"/>
      <w:numFmt w:val="lowerLetter"/>
      <w:lvlText w:val="%8)"/>
      <w:lvlJc w:val="left"/>
      <w:pPr>
        <w:ind w:left="3782" w:hanging="420"/>
      </w:pPr>
    </w:lvl>
    <w:lvl w:ilvl="8" w:tentative="0">
      <w:start w:val="1"/>
      <w:numFmt w:val="lowerRoman"/>
      <w:lvlText w:val="%9."/>
      <w:lvlJc w:val="right"/>
      <w:pPr>
        <w:ind w:left="4202" w:hanging="420"/>
      </w:pPr>
    </w:lvl>
  </w:abstractNum>
  <w:num w:numId="1">
    <w:abstractNumId w:val="1"/>
  </w:num>
  <w:num w:numId="2">
    <w:abstractNumId w:val="3"/>
  </w:num>
  <w:num w:numId="3">
    <w:abstractNumId w:val="4"/>
  </w:num>
  <w:num w:numId="4">
    <w:abstractNumId w:val="10"/>
  </w:num>
  <w:num w:numId="5">
    <w:abstractNumId w:val="5"/>
  </w:num>
  <w:num w:numId="6">
    <w:abstractNumId w:val="8"/>
  </w:num>
  <w:num w:numId="7">
    <w:abstractNumId w:val="6"/>
  </w:num>
  <w:num w:numId="8">
    <w:abstractNumId w:val="0"/>
  </w:num>
  <w:num w:numId="9">
    <w:abstractNumId w:val="7"/>
  </w:num>
  <w:num w:numId="10">
    <w:abstractNumId w:val="2"/>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hideSpellingErrors/>
  <w:documentProtection w:enforcement="0"/>
  <w:defaultTabStop w:val="420"/>
  <w:drawingGridHorizontalSpacing w:val="105"/>
  <w:drawingGridVerticalSpacing w:val="156"/>
  <w:noPunctuationKerning w:val="1"/>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3A3F"/>
    <w:rsid w:val="00000213"/>
    <w:rsid w:val="00000784"/>
    <w:rsid w:val="000009BA"/>
    <w:rsid w:val="0000132C"/>
    <w:rsid w:val="0000204B"/>
    <w:rsid w:val="00003ECE"/>
    <w:rsid w:val="000047FC"/>
    <w:rsid w:val="00005C1A"/>
    <w:rsid w:val="000061EC"/>
    <w:rsid w:val="000074A7"/>
    <w:rsid w:val="0000796E"/>
    <w:rsid w:val="0001041D"/>
    <w:rsid w:val="00011CE2"/>
    <w:rsid w:val="0001232D"/>
    <w:rsid w:val="000131A8"/>
    <w:rsid w:val="000132A2"/>
    <w:rsid w:val="000136D8"/>
    <w:rsid w:val="00013840"/>
    <w:rsid w:val="000148C9"/>
    <w:rsid w:val="000160C6"/>
    <w:rsid w:val="0001656C"/>
    <w:rsid w:val="00016685"/>
    <w:rsid w:val="00021ABE"/>
    <w:rsid w:val="00021D60"/>
    <w:rsid w:val="000224CB"/>
    <w:rsid w:val="00022C23"/>
    <w:rsid w:val="0002303C"/>
    <w:rsid w:val="000240D1"/>
    <w:rsid w:val="00026731"/>
    <w:rsid w:val="00026B2B"/>
    <w:rsid w:val="00027197"/>
    <w:rsid w:val="00027982"/>
    <w:rsid w:val="00030927"/>
    <w:rsid w:val="000310F8"/>
    <w:rsid w:val="00031171"/>
    <w:rsid w:val="00031AED"/>
    <w:rsid w:val="00031AF3"/>
    <w:rsid w:val="00031EE9"/>
    <w:rsid w:val="00032F79"/>
    <w:rsid w:val="00033778"/>
    <w:rsid w:val="00033909"/>
    <w:rsid w:val="00035033"/>
    <w:rsid w:val="00036C52"/>
    <w:rsid w:val="00036D31"/>
    <w:rsid w:val="00037675"/>
    <w:rsid w:val="00041A22"/>
    <w:rsid w:val="00042B49"/>
    <w:rsid w:val="0004353E"/>
    <w:rsid w:val="00044BC1"/>
    <w:rsid w:val="00046F91"/>
    <w:rsid w:val="0004764E"/>
    <w:rsid w:val="000523A1"/>
    <w:rsid w:val="000527CD"/>
    <w:rsid w:val="00052C37"/>
    <w:rsid w:val="00054587"/>
    <w:rsid w:val="00057EA9"/>
    <w:rsid w:val="000601C4"/>
    <w:rsid w:val="000601F9"/>
    <w:rsid w:val="00060755"/>
    <w:rsid w:val="000647FE"/>
    <w:rsid w:val="00065251"/>
    <w:rsid w:val="00066194"/>
    <w:rsid w:val="000676F1"/>
    <w:rsid w:val="00067B5E"/>
    <w:rsid w:val="00067F40"/>
    <w:rsid w:val="0007092F"/>
    <w:rsid w:val="00073B3A"/>
    <w:rsid w:val="00075157"/>
    <w:rsid w:val="00075BDC"/>
    <w:rsid w:val="00080A0A"/>
    <w:rsid w:val="00080B9D"/>
    <w:rsid w:val="0008123B"/>
    <w:rsid w:val="00081709"/>
    <w:rsid w:val="00081FDC"/>
    <w:rsid w:val="00083526"/>
    <w:rsid w:val="000840B9"/>
    <w:rsid w:val="00084AF8"/>
    <w:rsid w:val="000858FB"/>
    <w:rsid w:val="00085C6E"/>
    <w:rsid w:val="00085D47"/>
    <w:rsid w:val="000866AE"/>
    <w:rsid w:val="0008735F"/>
    <w:rsid w:val="00087518"/>
    <w:rsid w:val="00090CF2"/>
    <w:rsid w:val="00093138"/>
    <w:rsid w:val="000937F2"/>
    <w:rsid w:val="000949DE"/>
    <w:rsid w:val="000957B2"/>
    <w:rsid w:val="00096746"/>
    <w:rsid w:val="000A0363"/>
    <w:rsid w:val="000A0869"/>
    <w:rsid w:val="000A19AE"/>
    <w:rsid w:val="000A1B2C"/>
    <w:rsid w:val="000A25BB"/>
    <w:rsid w:val="000A35E6"/>
    <w:rsid w:val="000A3894"/>
    <w:rsid w:val="000A3A04"/>
    <w:rsid w:val="000A4C6C"/>
    <w:rsid w:val="000A4C83"/>
    <w:rsid w:val="000A4F96"/>
    <w:rsid w:val="000A6ACD"/>
    <w:rsid w:val="000B083F"/>
    <w:rsid w:val="000B09A3"/>
    <w:rsid w:val="000B1C69"/>
    <w:rsid w:val="000B3D9A"/>
    <w:rsid w:val="000B4D4B"/>
    <w:rsid w:val="000B5887"/>
    <w:rsid w:val="000C0413"/>
    <w:rsid w:val="000C0DEB"/>
    <w:rsid w:val="000C3048"/>
    <w:rsid w:val="000C477F"/>
    <w:rsid w:val="000C483B"/>
    <w:rsid w:val="000C5972"/>
    <w:rsid w:val="000C6415"/>
    <w:rsid w:val="000C66F6"/>
    <w:rsid w:val="000C73BB"/>
    <w:rsid w:val="000D0AD4"/>
    <w:rsid w:val="000D21BB"/>
    <w:rsid w:val="000D48FC"/>
    <w:rsid w:val="000D56B6"/>
    <w:rsid w:val="000D6B22"/>
    <w:rsid w:val="000D6C4A"/>
    <w:rsid w:val="000D7202"/>
    <w:rsid w:val="000D747E"/>
    <w:rsid w:val="000E0329"/>
    <w:rsid w:val="000E0BBD"/>
    <w:rsid w:val="000E0E25"/>
    <w:rsid w:val="000E2099"/>
    <w:rsid w:val="000E3578"/>
    <w:rsid w:val="000E3D26"/>
    <w:rsid w:val="000E3E44"/>
    <w:rsid w:val="000E4015"/>
    <w:rsid w:val="000E4676"/>
    <w:rsid w:val="000E4AE8"/>
    <w:rsid w:val="000E4C4F"/>
    <w:rsid w:val="000E671B"/>
    <w:rsid w:val="000F3FE6"/>
    <w:rsid w:val="000F464C"/>
    <w:rsid w:val="000F4904"/>
    <w:rsid w:val="000F665A"/>
    <w:rsid w:val="000F677B"/>
    <w:rsid w:val="000F6EE4"/>
    <w:rsid w:val="000F78EC"/>
    <w:rsid w:val="00100292"/>
    <w:rsid w:val="001002D6"/>
    <w:rsid w:val="0010119A"/>
    <w:rsid w:val="001011F9"/>
    <w:rsid w:val="00102CD8"/>
    <w:rsid w:val="00103892"/>
    <w:rsid w:val="00105B09"/>
    <w:rsid w:val="0010689D"/>
    <w:rsid w:val="001071E5"/>
    <w:rsid w:val="0010757D"/>
    <w:rsid w:val="001077D4"/>
    <w:rsid w:val="00110B9E"/>
    <w:rsid w:val="001114A5"/>
    <w:rsid w:val="0011193C"/>
    <w:rsid w:val="00111BD4"/>
    <w:rsid w:val="00111CE8"/>
    <w:rsid w:val="00111CF3"/>
    <w:rsid w:val="00112A1C"/>
    <w:rsid w:val="0011345A"/>
    <w:rsid w:val="00113F0C"/>
    <w:rsid w:val="001152EF"/>
    <w:rsid w:val="00115A0D"/>
    <w:rsid w:val="00120A3B"/>
    <w:rsid w:val="00121C68"/>
    <w:rsid w:val="00123CF2"/>
    <w:rsid w:val="00124226"/>
    <w:rsid w:val="0012524A"/>
    <w:rsid w:val="00126BD0"/>
    <w:rsid w:val="001273DA"/>
    <w:rsid w:val="00130A05"/>
    <w:rsid w:val="00133541"/>
    <w:rsid w:val="001356D9"/>
    <w:rsid w:val="00135FFF"/>
    <w:rsid w:val="0013656E"/>
    <w:rsid w:val="00136AA0"/>
    <w:rsid w:val="00140368"/>
    <w:rsid w:val="001409BB"/>
    <w:rsid w:val="00142567"/>
    <w:rsid w:val="0014283B"/>
    <w:rsid w:val="00142D84"/>
    <w:rsid w:val="00142ED5"/>
    <w:rsid w:val="00146439"/>
    <w:rsid w:val="00146D38"/>
    <w:rsid w:val="00147628"/>
    <w:rsid w:val="001509E5"/>
    <w:rsid w:val="001518B2"/>
    <w:rsid w:val="00151ACE"/>
    <w:rsid w:val="00151B6D"/>
    <w:rsid w:val="00151BA1"/>
    <w:rsid w:val="001524D0"/>
    <w:rsid w:val="001524FA"/>
    <w:rsid w:val="00152F3D"/>
    <w:rsid w:val="00154165"/>
    <w:rsid w:val="0015446D"/>
    <w:rsid w:val="00155915"/>
    <w:rsid w:val="001614EF"/>
    <w:rsid w:val="0016163D"/>
    <w:rsid w:val="00161DA6"/>
    <w:rsid w:val="00162824"/>
    <w:rsid w:val="00163908"/>
    <w:rsid w:val="00163E55"/>
    <w:rsid w:val="001642DF"/>
    <w:rsid w:val="00164A5C"/>
    <w:rsid w:val="00164BE2"/>
    <w:rsid w:val="00164D23"/>
    <w:rsid w:val="001667F2"/>
    <w:rsid w:val="00170A29"/>
    <w:rsid w:val="00172514"/>
    <w:rsid w:val="001732E4"/>
    <w:rsid w:val="00173E5A"/>
    <w:rsid w:val="00173EAD"/>
    <w:rsid w:val="00174865"/>
    <w:rsid w:val="00174B43"/>
    <w:rsid w:val="00174DB7"/>
    <w:rsid w:val="00177004"/>
    <w:rsid w:val="00177B34"/>
    <w:rsid w:val="00180A67"/>
    <w:rsid w:val="00181029"/>
    <w:rsid w:val="001822F4"/>
    <w:rsid w:val="00184AF8"/>
    <w:rsid w:val="00186DF7"/>
    <w:rsid w:val="001871BF"/>
    <w:rsid w:val="00187C31"/>
    <w:rsid w:val="00190134"/>
    <w:rsid w:val="0019098B"/>
    <w:rsid w:val="00190FE4"/>
    <w:rsid w:val="00193072"/>
    <w:rsid w:val="001939D1"/>
    <w:rsid w:val="00193C68"/>
    <w:rsid w:val="00195587"/>
    <w:rsid w:val="0019560D"/>
    <w:rsid w:val="001971E0"/>
    <w:rsid w:val="001A0050"/>
    <w:rsid w:val="001A0051"/>
    <w:rsid w:val="001A29FA"/>
    <w:rsid w:val="001A2E79"/>
    <w:rsid w:val="001A3F93"/>
    <w:rsid w:val="001A440C"/>
    <w:rsid w:val="001A613A"/>
    <w:rsid w:val="001A6844"/>
    <w:rsid w:val="001A6EFF"/>
    <w:rsid w:val="001B09D6"/>
    <w:rsid w:val="001B3FFC"/>
    <w:rsid w:val="001B4841"/>
    <w:rsid w:val="001B5721"/>
    <w:rsid w:val="001B72C2"/>
    <w:rsid w:val="001C269F"/>
    <w:rsid w:val="001C295B"/>
    <w:rsid w:val="001C3A41"/>
    <w:rsid w:val="001C413A"/>
    <w:rsid w:val="001C5ED2"/>
    <w:rsid w:val="001C68BB"/>
    <w:rsid w:val="001C7035"/>
    <w:rsid w:val="001C7EDD"/>
    <w:rsid w:val="001D1856"/>
    <w:rsid w:val="001D25D7"/>
    <w:rsid w:val="001D58DE"/>
    <w:rsid w:val="001D59F6"/>
    <w:rsid w:val="001D5A89"/>
    <w:rsid w:val="001E154D"/>
    <w:rsid w:val="001E2332"/>
    <w:rsid w:val="001E51CF"/>
    <w:rsid w:val="001E5840"/>
    <w:rsid w:val="001F0346"/>
    <w:rsid w:val="001F0AA1"/>
    <w:rsid w:val="001F1190"/>
    <w:rsid w:val="001F1D96"/>
    <w:rsid w:val="001F4A8A"/>
    <w:rsid w:val="001F503F"/>
    <w:rsid w:val="001F53CB"/>
    <w:rsid w:val="001F730D"/>
    <w:rsid w:val="001F7593"/>
    <w:rsid w:val="001F7D28"/>
    <w:rsid w:val="00201244"/>
    <w:rsid w:val="002014BF"/>
    <w:rsid w:val="00201EBE"/>
    <w:rsid w:val="00202108"/>
    <w:rsid w:val="00202384"/>
    <w:rsid w:val="0020272B"/>
    <w:rsid w:val="0020336A"/>
    <w:rsid w:val="002037B1"/>
    <w:rsid w:val="002050A7"/>
    <w:rsid w:val="002056EF"/>
    <w:rsid w:val="00206063"/>
    <w:rsid w:val="0020757C"/>
    <w:rsid w:val="00210FF8"/>
    <w:rsid w:val="00211BF9"/>
    <w:rsid w:val="0021251C"/>
    <w:rsid w:val="00212641"/>
    <w:rsid w:val="0021292B"/>
    <w:rsid w:val="00212B22"/>
    <w:rsid w:val="00212BAD"/>
    <w:rsid w:val="00213838"/>
    <w:rsid w:val="00213BAD"/>
    <w:rsid w:val="00214662"/>
    <w:rsid w:val="00214DB0"/>
    <w:rsid w:val="002152F9"/>
    <w:rsid w:val="002153CB"/>
    <w:rsid w:val="00215C09"/>
    <w:rsid w:val="002161C3"/>
    <w:rsid w:val="002170FB"/>
    <w:rsid w:val="00217DF5"/>
    <w:rsid w:val="002201D4"/>
    <w:rsid w:val="0022199D"/>
    <w:rsid w:val="00222A29"/>
    <w:rsid w:val="00224919"/>
    <w:rsid w:val="002271E2"/>
    <w:rsid w:val="00231250"/>
    <w:rsid w:val="0023178F"/>
    <w:rsid w:val="0023270A"/>
    <w:rsid w:val="00232B44"/>
    <w:rsid w:val="00232B9B"/>
    <w:rsid w:val="0023513A"/>
    <w:rsid w:val="00236396"/>
    <w:rsid w:val="00246BEF"/>
    <w:rsid w:val="00246BF0"/>
    <w:rsid w:val="00246C6C"/>
    <w:rsid w:val="002511F3"/>
    <w:rsid w:val="00251DC7"/>
    <w:rsid w:val="002523BE"/>
    <w:rsid w:val="002525E2"/>
    <w:rsid w:val="0025264C"/>
    <w:rsid w:val="002534B4"/>
    <w:rsid w:val="002548D7"/>
    <w:rsid w:val="00256260"/>
    <w:rsid w:val="002576DD"/>
    <w:rsid w:val="002611A8"/>
    <w:rsid w:val="00263D79"/>
    <w:rsid w:val="00264748"/>
    <w:rsid w:val="002654EC"/>
    <w:rsid w:val="002657A1"/>
    <w:rsid w:val="002658E4"/>
    <w:rsid w:val="002669BC"/>
    <w:rsid w:val="002672E6"/>
    <w:rsid w:val="00267B65"/>
    <w:rsid w:val="002707D6"/>
    <w:rsid w:val="002712AD"/>
    <w:rsid w:val="00271F40"/>
    <w:rsid w:val="00272FDF"/>
    <w:rsid w:val="00274356"/>
    <w:rsid w:val="00274971"/>
    <w:rsid w:val="00274ABE"/>
    <w:rsid w:val="0027593F"/>
    <w:rsid w:val="002760BA"/>
    <w:rsid w:val="0027659B"/>
    <w:rsid w:val="002765E4"/>
    <w:rsid w:val="0027771E"/>
    <w:rsid w:val="00277E3C"/>
    <w:rsid w:val="00280846"/>
    <w:rsid w:val="00282294"/>
    <w:rsid w:val="0028293A"/>
    <w:rsid w:val="0028360C"/>
    <w:rsid w:val="00283CE3"/>
    <w:rsid w:val="002842D8"/>
    <w:rsid w:val="00284EFD"/>
    <w:rsid w:val="00285340"/>
    <w:rsid w:val="00286BF4"/>
    <w:rsid w:val="00291906"/>
    <w:rsid w:val="00293FF4"/>
    <w:rsid w:val="002951FA"/>
    <w:rsid w:val="00295F2D"/>
    <w:rsid w:val="0029697C"/>
    <w:rsid w:val="00296B3B"/>
    <w:rsid w:val="00297532"/>
    <w:rsid w:val="002A0242"/>
    <w:rsid w:val="002A0B9D"/>
    <w:rsid w:val="002A0DFA"/>
    <w:rsid w:val="002A1850"/>
    <w:rsid w:val="002A1EF2"/>
    <w:rsid w:val="002A3FBB"/>
    <w:rsid w:val="002A4B08"/>
    <w:rsid w:val="002B0A78"/>
    <w:rsid w:val="002B3341"/>
    <w:rsid w:val="002B460A"/>
    <w:rsid w:val="002B467D"/>
    <w:rsid w:val="002B4785"/>
    <w:rsid w:val="002B586C"/>
    <w:rsid w:val="002B6428"/>
    <w:rsid w:val="002B6A04"/>
    <w:rsid w:val="002C13A7"/>
    <w:rsid w:val="002C1CB9"/>
    <w:rsid w:val="002C2F74"/>
    <w:rsid w:val="002C366C"/>
    <w:rsid w:val="002C45B2"/>
    <w:rsid w:val="002C4A64"/>
    <w:rsid w:val="002C5868"/>
    <w:rsid w:val="002C6155"/>
    <w:rsid w:val="002C6779"/>
    <w:rsid w:val="002C67C4"/>
    <w:rsid w:val="002C6E95"/>
    <w:rsid w:val="002D3D28"/>
    <w:rsid w:val="002D5B41"/>
    <w:rsid w:val="002D6715"/>
    <w:rsid w:val="002D6A34"/>
    <w:rsid w:val="002E1BF1"/>
    <w:rsid w:val="002E1F3F"/>
    <w:rsid w:val="002E245E"/>
    <w:rsid w:val="002E31BB"/>
    <w:rsid w:val="002E5246"/>
    <w:rsid w:val="002E5C6A"/>
    <w:rsid w:val="002E5DF0"/>
    <w:rsid w:val="002E6979"/>
    <w:rsid w:val="002E7151"/>
    <w:rsid w:val="002E7770"/>
    <w:rsid w:val="002F0888"/>
    <w:rsid w:val="002F1799"/>
    <w:rsid w:val="002F27D4"/>
    <w:rsid w:val="002F292D"/>
    <w:rsid w:val="002F2C55"/>
    <w:rsid w:val="002F39FC"/>
    <w:rsid w:val="002F3AFB"/>
    <w:rsid w:val="002F4010"/>
    <w:rsid w:val="002F4890"/>
    <w:rsid w:val="002F5A08"/>
    <w:rsid w:val="002F62F3"/>
    <w:rsid w:val="002F7F2B"/>
    <w:rsid w:val="003012CF"/>
    <w:rsid w:val="00301321"/>
    <w:rsid w:val="00301EF3"/>
    <w:rsid w:val="00302597"/>
    <w:rsid w:val="0030286F"/>
    <w:rsid w:val="00302B2C"/>
    <w:rsid w:val="00302CC9"/>
    <w:rsid w:val="00302FF7"/>
    <w:rsid w:val="003033F6"/>
    <w:rsid w:val="0030373E"/>
    <w:rsid w:val="00303B38"/>
    <w:rsid w:val="00306DE0"/>
    <w:rsid w:val="00306E0E"/>
    <w:rsid w:val="00306F8F"/>
    <w:rsid w:val="00307340"/>
    <w:rsid w:val="00307BE7"/>
    <w:rsid w:val="00307EC8"/>
    <w:rsid w:val="00311783"/>
    <w:rsid w:val="003124C7"/>
    <w:rsid w:val="003125D2"/>
    <w:rsid w:val="00313700"/>
    <w:rsid w:val="00313F45"/>
    <w:rsid w:val="0031438C"/>
    <w:rsid w:val="00314B83"/>
    <w:rsid w:val="00315D1D"/>
    <w:rsid w:val="003206AC"/>
    <w:rsid w:val="00320A04"/>
    <w:rsid w:val="00320D65"/>
    <w:rsid w:val="00321F5D"/>
    <w:rsid w:val="00322C38"/>
    <w:rsid w:val="003303DD"/>
    <w:rsid w:val="00331996"/>
    <w:rsid w:val="003319BE"/>
    <w:rsid w:val="00331D7B"/>
    <w:rsid w:val="00332035"/>
    <w:rsid w:val="00333E46"/>
    <w:rsid w:val="0033481E"/>
    <w:rsid w:val="0033683F"/>
    <w:rsid w:val="00337151"/>
    <w:rsid w:val="00341843"/>
    <w:rsid w:val="00342170"/>
    <w:rsid w:val="00342850"/>
    <w:rsid w:val="00344BD0"/>
    <w:rsid w:val="0034506D"/>
    <w:rsid w:val="003453F2"/>
    <w:rsid w:val="00345A4F"/>
    <w:rsid w:val="0034669D"/>
    <w:rsid w:val="00347E99"/>
    <w:rsid w:val="00350C59"/>
    <w:rsid w:val="0035170F"/>
    <w:rsid w:val="00351C01"/>
    <w:rsid w:val="00352EF1"/>
    <w:rsid w:val="00353329"/>
    <w:rsid w:val="0035344B"/>
    <w:rsid w:val="003544D2"/>
    <w:rsid w:val="00354B55"/>
    <w:rsid w:val="00354E8D"/>
    <w:rsid w:val="0035674B"/>
    <w:rsid w:val="003574FE"/>
    <w:rsid w:val="00360589"/>
    <w:rsid w:val="00360850"/>
    <w:rsid w:val="00360859"/>
    <w:rsid w:val="00361227"/>
    <w:rsid w:val="003625A2"/>
    <w:rsid w:val="00363730"/>
    <w:rsid w:val="00364276"/>
    <w:rsid w:val="00364AEB"/>
    <w:rsid w:val="00365671"/>
    <w:rsid w:val="00370AD3"/>
    <w:rsid w:val="00371318"/>
    <w:rsid w:val="003764CC"/>
    <w:rsid w:val="00380402"/>
    <w:rsid w:val="003804FA"/>
    <w:rsid w:val="00381D97"/>
    <w:rsid w:val="003837A5"/>
    <w:rsid w:val="00384586"/>
    <w:rsid w:val="003910F8"/>
    <w:rsid w:val="00391AF1"/>
    <w:rsid w:val="00392082"/>
    <w:rsid w:val="003921A4"/>
    <w:rsid w:val="003926EE"/>
    <w:rsid w:val="00394B8C"/>
    <w:rsid w:val="0039590E"/>
    <w:rsid w:val="0039793A"/>
    <w:rsid w:val="003A111D"/>
    <w:rsid w:val="003A2C3C"/>
    <w:rsid w:val="003A33D7"/>
    <w:rsid w:val="003A39B4"/>
    <w:rsid w:val="003A40AC"/>
    <w:rsid w:val="003A5B10"/>
    <w:rsid w:val="003A5B55"/>
    <w:rsid w:val="003A67A4"/>
    <w:rsid w:val="003A6C4D"/>
    <w:rsid w:val="003A7178"/>
    <w:rsid w:val="003B08DA"/>
    <w:rsid w:val="003B1195"/>
    <w:rsid w:val="003B134D"/>
    <w:rsid w:val="003B2E98"/>
    <w:rsid w:val="003B404B"/>
    <w:rsid w:val="003B496D"/>
    <w:rsid w:val="003B50A5"/>
    <w:rsid w:val="003B5B27"/>
    <w:rsid w:val="003B65A6"/>
    <w:rsid w:val="003B7744"/>
    <w:rsid w:val="003C040C"/>
    <w:rsid w:val="003C16E3"/>
    <w:rsid w:val="003C1D9C"/>
    <w:rsid w:val="003C1F99"/>
    <w:rsid w:val="003C29C6"/>
    <w:rsid w:val="003C38FC"/>
    <w:rsid w:val="003C414C"/>
    <w:rsid w:val="003C594B"/>
    <w:rsid w:val="003C68A8"/>
    <w:rsid w:val="003C7F6B"/>
    <w:rsid w:val="003D0A23"/>
    <w:rsid w:val="003D13AA"/>
    <w:rsid w:val="003D1B2E"/>
    <w:rsid w:val="003D2DC0"/>
    <w:rsid w:val="003D31B2"/>
    <w:rsid w:val="003D482D"/>
    <w:rsid w:val="003D4905"/>
    <w:rsid w:val="003D59F5"/>
    <w:rsid w:val="003D6E9E"/>
    <w:rsid w:val="003E1101"/>
    <w:rsid w:val="003E1607"/>
    <w:rsid w:val="003E40B8"/>
    <w:rsid w:val="003E492C"/>
    <w:rsid w:val="003E53EC"/>
    <w:rsid w:val="003E58F4"/>
    <w:rsid w:val="003E64F1"/>
    <w:rsid w:val="003F00B1"/>
    <w:rsid w:val="003F07CD"/>
    <w:rsid w:val="003F14D8"/>
    <w:rsid w:val="003F41F6"/>
    <w:rsid w:val="003F5267"/>
    <w:rsid w:val="004005D1"/>
    <w:rsid w:val="0040176B"/>
    <w:rsid w:val="004024ED"/>
    <w:rsid w:val="0040411E"/>
    <w:rsid w:val="004044C9"/>
    <w:rsid w:val="00404910"/>
    <w:rsid w:val="00406927"/>
    <w:rsid w:val="004070FF"/>
    <w:rsid w:val="004115E5"/>
    <w:rsid w:val="00413006"/>
    <w:rsid w:val="004139A3"/>
    <w:rsid w:val="00415262"/>
    <w:rsid w:val="004155E0"/>
    <w:rsid w:val="00417918"/>
    <w:rsid w:val="0042024A"/>
    <w:rsid w:val="00420B28"/>
    <w:rsid w:val="00420CB9"/>
    <w:rsid w:val="00420E74"/>
    <w:rsid w:val="004226E7"/>
    <w:rsid w:val="00422896"/>
    <w:rsid w:val="00423AF6"/>
    <w:rsid w:val="00424C15"/>
    <w:rsid w:val="00424C59"/>
    <w:rsid w:val="00425CD8"/>
    <w:rsid w:val="004329FC"/>
    <w:rsid w:val="00432AA9"/>
    <w:rsid w:val="00432B99"/>
    <w:rsid w:val="0043486C"/>
    <w:rsid w:val="0043675F"/>
    <w:rsid w:val="00440225"/>
    <w:rsid w:val="00440783"/>
    <w:rsid w:val="00440B7E"/>
    <w:rsid w:val="004430D6"/>
    <w:rsid w:val="0044452E"/>
    <w:rsid w:val="00444A67"/>
    <w:rsid w:val="004454F9"/>
    <w:rsid w:val="00445A0B"/>
    <w:rsid w:val="00446A23"/>
    <w:rsid w:val="00450C68"/>
    <w:rsid w:val="00454027"/>
    <w:rsid w:val="004544DD"/>
    <w:rsid w:val="00454581"/>
    <w:rsid w:val="004548BA"/>
    <w:rsid w:val="00454AF1"/>
    <w:rsid w:val="00454D06"/>
    <w:rsid w:val="00455BAC"/>
    <w:rsid w:val="00460321"/>
    <w:rsid w:val="004604AB"/>
    <w:rsid w:val="00460B18"/>
    <w:rsid w:val="00460E8D"/>
    <w:rsid w:val="00462C0B"/>
    <w:rsid w:val="00463FCA"/>
    <w:rsid w:val="00464C36"/>
    <w:rsid w:val="00465DB2"/>
    <w:rsid w:val="00467670"/>
    <w:rsid w:val="00467E2C"/>
    <w:rsid w:val="00470FC8"/>
    <w:rsid w:val="00472638"/>
    <w:rsid w:val="0047336B"/>
    <w:rsid w:val="00473943"/>
    <w:rsid w:val="00474AA7"/>
    <w:rsid w:val="00475A50"/>
    <w:rsid w:val="00476653"/>
    <w:rsid w:val="0047683E"/>
    <w:rsid w:val="00477A62"/>
    <w:rsid w:val="00477F42"/>
    <w:rsid w:val="00477F6F"/>
    <w:rsid w:val="004814BD"/>
    <w:rsid w:val="0048325C"/>
    <w:rsid w:val="00486BB3"/>
    <w:rsid w:val="00491890"/>
    <w:rsid w:val="004924DF"/>
    <w:rsid w:val="0049257F"/>
    <w:rsid w:val="00493747"/>
    <w:rsid w:val="00493F14"/>
    <w:rsid w:val="0049517D"/>
    <w:rsid w:val="0049517E"/>
    <w:rsid w:val="0049522E"/>
    <w:rsid w:val="00496252"/>
    <w:rsid w:val="0049630B"/>
    <w:rsid w:val="00496A25"/>
    <w:rsid w:val="00496A8A"/>
    <w:rsid w:val="00497C6D"/>
    <w:rsid w:val="004A22DB"/>
    <w:rsid w:val="004A5ECC"/>
    <w:rsid w:val="004A65FC"/>
    <w:rsid w:val="004A68E3"/>
    <w:rsid w:val="004B0728"/>
    <w:rsid w:val="004B0E82"/>
    <w:rsid w:val="004B17C4"/>
    <w:rsid w:val="004B1A9E"/>
    <w:rsid w:val="004B20DE"/>
    <w:rsid w:val="004B26C6"/>
    <w:rsid w:val="004B2B3E"/>
    <w:rsid w:val="004B2D76"/>
    <w:rsid w:val="004B3633"/>
    <w:rsid w:val="004B42DF"/>
    <w:rsid w:val="004B48B1"/>
    <w:rsid w:val="004B6C21"/>
    <w:rsid w:val="004C07FB"/>
    <w:rsid w:val="004C095D"/>
    <w:rsid w:val="004C0E93"/>
    <w:rsid w:val="004C28A4"/>
    <w:rsid w:val="004C2B3F"/>
    <w:rsid w:val="004C2DC2"/>
    <w:rsid w:val="004C435D"/>
    <w:rsid w:val="004C45EA"/>
    <w:rsid w:val="004C5E77"/>
    <w:rsid w:val="004C6291"/>
    <w:rsid w:val="004C67F4"/>
    <w:rsid w:val="004C7ABD"/>
    <w:rsid w:val="004D0E22"/>
    <w:rsid w:val="004D1674"/>
    <w:rsid w:val="004D1B0E"/>
    <w:rsid w:val="004D1E98"/>
    <w:rsid w:val="004D41A0"/>
    <w:rsid w:val="004D5749"/>
    <w:rsid w:val="004D621C"/>
    <w:rsid w:val="004D65DB"/>
    <w:rsid w:val="004D7AE3"/>
    <w:rsid w:val="004E14C9"/>
    <w:rsid w:val="004E2286"/>
    <w:rsid w:val="004E288B"/>
    <w:rsid w:val="004E35E6"/>
    <w:rsid w:val="004E412A"/>
    <w:rsid w:val="004E46F3"/>
    <w:rsid w:val="004E55D9"/>
    <w:rsid w:val="004E6116"/>
    <w:rsid w:val="004E6FD0"/>
    <w:rsid w:val="004F07C9"/>
    <w:rsid w:val="004F2337"/>
    <w:rsid w:val="004F43C2"/>
    <w:rsid w:val="004F4420"/>
    <w:rsid w:val="004F44F9"/>
    <w:rsid w:val="004F4A48"/>
    <w:rsid w:val="004F4B3E"/>
    <w:rsid w:val="004F5FDC"/>
    <w:rsid w:val="004F6556"/>
    <w:rsid w:val="004F7742"/>
    <w:rsid w:val="004F778D"/>
    <w:rsid w:val="004F7C8D"/>
    <w:rsid w:val="00500022"/>
    <w:rsid w:val="005004C3"/>
    <w:rsid w:val="00500639"/>
    <w:rsid w:val="00501D35"/>
    <w:rsid w:val="00502F75"/>
    <w:rsid w:val="0050480B"/>
    <w:rsid w:val="00505773"/>
    <w:rsid w:val="00506696"/>
    <w:rsid w:val="00514A6B"/>
    <w:rsid w:val="00514B1C"/>
    <w:rsid w:val="005200D9"/>
    <w:rsid w:val="00520450"/>
    <w:rsid w:val="005208C2"/>
    <w:rsid w:val="00520CE2"/>
    <w:rsid w:val="00522DB1"/>
    <w:rsid w:val="0052342F"/>
    <w:rsid w:val="005237FD"/>
    <w:rsid w:val="0052482C"/>
    <w:rsid w:val="005251B4"/>
    <w:rsid w:val="00525D62"/>
    <w:rsid w:val="00525FBC"/>
    <w:rsid w:val="00526D57"/>
    <w:rsid w:val="005271CC"/>
    <w:rsid w:val="0052765F"/>
    <w:rsid w:val="0052777C"/>
    <w:rsid w:val="00531F81"/>
    <w:rsid w:val="005320CD"/>
    <w:rsid w:val="005335CA"/>
    <w:rsid w:val="005337F5"/>
    <w:rsid w:val="0053389D"/>
    <w:rsid w:val="005338B7"/>
    <w:rsid w:val="00533FD9"/>
    <w:rsid w:val="005402CA"/>
    <w:rsid w:val="005425CD"/>
    <w:rsid w:val="00544458"/>
    <w:rsid w:val="00544676"/>
    <w:rsid w:val="005458AD"/>
    <w:rsid w:val="00545AC2"/>
    <w:rsid w:val="00545C81"/>
    <w:rsid w:val="0054733D"/>
    <w:rsid w:val="00547786"/>
    <w:rsid w:val="00547968"/>
    <w:rsid w:val="00550575"/>
    <w:rsid w:val="00551A77"/>
    <w:rsid w:val="00553905"/>
    <w:rsid w:val="00553EA2"/>
    <w:rsid w:val="00553FA7"/>
    <w:rsid w:val="0055428E"/>
    <w:rsid w:val="0055449E"/>
    <w:rsid w:val="00554C5D"/>
    <w:rsid w:val="00554F3C"/>
    <w:rsid w:val="0055522C"/>
    <w:rsid w:val="0055566B"/>
    <w:rsid w:val="0055771C"/>
    <w:rsid w:val="0056054B"/>
    <w:rsid w:val="00562D64"/>
    <w:rsid w:val="00563809"/>
    <w:rsid w:val="00564078"/>
    <w:rsid w:val="00565A17"/>
    <w:rsid w:val="00566287"/>
    <w:rsid w:val="00566438"/>
    <w:rsid w:val="0056760A"/>
    <w:rsid w:val="00570EE3"/>
    <w:rsid w:val="00572555"/>
    <w:rsid w:val="00572743"/>
    <w:rsid w:val="00573050"/>
    <w:rsid w:val="0057411E"/>
    <w:rsid w:val="005745D1"/>
    <w:rsid w:val="00574ACF"/>
    <w:rsid w:val="00575EA6"/>
    <w:rsid w:val="00576174"/>
    <w:rsid w:val="00577D75"/>
    <w:rsid w:val="00577DBD"/>
    <w:rsid w:val="00580F90"/>
    <w:rsid w:val="00581350"/>
    <w:rsid w:val="00581A4E"/>
    <w:rsid w:val="005824A0"/>
    <w:rsid w:val="00582708"/>
    <w:rsid w:val="0058342B"/>
    <w:rsid w:val="00583A52"/>
    <w:rsid w:val="00584944"/>
    <w:rsid w:val="00585064"/>
    <w:rsid w:val="00585B35"/>
    <w:rsid w:val="0058764A"/>
    <w:rsid w:val="00590948"/>
    <w:rsid w:val="00590D74"/>
    <w:rsid w:val="00591195"/>
    <w:rsid w:val="00593605"/>
    <w:rsid w:val="00593C80"/>
    <w:rsid w:val="00594B95"/>
    <w:rsid w:val="00595144"/>
    <w:rsid w:val="0059608D"/>
    <w:rsid w:val="00596147"/>
    <w:rsid w:val="005978DF"/>
    <w:rsid w:val="00597C3F"/>
    <w:rsid w:val="005A0179"/>
    <w:rsid w:val="005A09DF"/>
    <w:rsid w:val="005A15FE"/>
    <w:rsid w:val="005A1C53"/>
    <w:rsid w:val="005A27DD"/>
    <w:rsid w:val="005A2FEE"/>
    <w:rsid w:val="005A32FD"/>
    <w:rsid w:val="005A4A94"/>
    <w:rsid w:val="005A53A6"/>
    <w:rsid w:val="005A6CBD"/>
    <w:rsid w:val="005A6D80"/>
    <w:rsid w:val="005A6FC0"/>
    <w:rsid w:val="005A7EFB"/>
    <w:rsid w:val="005B095A"/>
    <w:rsid w:val="005B2184"/>
    <w:rsid w:val="005B323B"/>
    <w:rsid w:val="005B48AC"/>
    <w:rsid w:val="005B4AAD"/>
    <w:rsid w:val="005B79F0"/>
    <w:rsid w:val="005C0810"/>
    <w:rsid w:val="005C1C75"/>
    <w:rsid w:val="005C61B5"/>
    <w:rsid w:val="005C636C"/>
    <w:rsid w:val="005C7EED"/>
    <w:rsid w:val="005D046A"/>
    <w:rsid w:val="005D058B"/>
    <w:rsid w:val="005D0D52"/>
    <w:rsid w:val="005D103E"/>
    <w:rsid w:val="005D33E4"/>
    <w:rsid w:val="005D38A4"/>
    <w:rsid w:val="005D39F5"/>
    <w:rsid w:val="005D40D6"/>
    <w:rsid w:val="005D417E"/>
    <w:rsid w:val="005D442A"/>
    <w:rsid w:val="005D45B8"/>
    <w:rsid w:val="005D49CD"/>
    <w:rsid w:val="005E0459"/>
    <w:rsid w:val="005E283D"/>
    <w:rsid w:val="005E2905"/>
    <w:rsid w:val="005E3E63"/>
    <w:rsid w:val="005E427E"/>
    <w:rsid w:val="005E4383"/>
    <w:rsid w:val="005E6A00"/>
    <w:rsid w:val="005E6EBB"/>
    <w:rsid w:val="005E71B0"/>
    <w:rsid w:val="005E7488"/>
    <w:rsid w:val="005E7566"/>
    <w:rsid w:val="005E76DA"/>
    <w:rsid w:val="005E7EC6"/>
    <w:rsid w:val="005F03A9"/>
    <w:rsid w:val="005F0909"/>
    <w:rsid w:val="005F0A9A"/>
    <w:rsid w:val="005F1646"/>
    <w:rsid w:val="005F185E"/>
    <w:rsid w:val="005F1CBD"/>
    <w:rsid w:val="005F2ED7"/>
    <w:rsid w:val="005F3D93"/>
    <w:rsid w:val="005F3F5A"/>
    <w:rsid w:val="005F4281"/>
    <w:rsid w:val="005F4D63"/>
    <w:rsid w:val="005F5379"/>
    <w:rsid w:val="005F6075"/>
    <w:rsid w:val="005F68CB"/>
    <w:rsid w:val="005F7C2C"/>
    <w:rsid w:val="00601269"/>
    <w:rsid w:val="00601E0B"/>
    <w:rsid w:val="006028C9"/>
    <w:rsid w:val="00602D3D"/>
    <w:rsid w:val="0060309D"/>
    <w:rsid w:val="00603307"/>
    <w:rsid w:val="0060482B"/>
    <w:rsid w:val="00604FC2"/>
    <w:rsid w:val="00606D25"/>
    <w:rsid w:val="006079FE"/>
    <w:rsid w:val="00607C58"/>
    <w:rsid w:val="006103EC"/>
    <w:rsid w:val="006112AA"/>
    <w:rsid w:val="006126B0"/>
    <w:rsid w:val="00612CFE"/>
    <w:rsid w:val="006137C5"/>
    <w:rsid w:val="00613A30"/>
    <w:rsid w:val="006212BB"/>
    <w:rsid w:val="00621E55"/>
    <w:rsid w:val="00622A81"/>
    <w:rsid w:val="00622CAB"/>
    <w:rsid w:val="00623366"/>
    <w:rsid w:val="00623B70"/>
    <w:rsid w:val="006254E0"/>
    <w:rsid w:val="00626F7D"/>
    <w:rsid w:val="00632D6E"/>
    <w:rsid w:val="006353A7"/>
    <w:rsid w:val="00636E84"/>
    <w:rsid w:val="00636FF4"/>
    <w:rsid w:val="00637BF0"/>
    <w:rsid w:val="00637FCD"/>
    <w:rsid w:val="006403E7"/>
    <w:rsid w:val="0064070B"/>
    <w:rsid w:val="006418F8"/>
    <w:rsid w:val="00641BB6"/>
    <w:rsid w:val="006423AB"/>
    <w:rsid w:val="00644755"/>
    <w:rsid w:val="006464AA"/>
    <w:rsid w:val="00646DE4"/>
    <w:rsid w:val="00646F03"/>
    <w:rsid w:val="0064733F"/>
    <w:rsid w:val="00647BCE"/>
    <w:rsid w:val="00650174"/>
    <w:rsid w:val="006503C0"/>
    <w:rsid w:val="006515E9"/>
    <w:rsid w:val="00651E31"/>
    <w:rsid w:val="00652A51"/>
    <w:rsid w:val="00653834"/>
    <w:rsid w:val="00653E89"/>
    <w:rsid w:val="00653F1B"/>
    <w:rsid w:val="00654634"/>
    <w:rsid w:val="0065568B"/>
    <w:rsid w:val="006562DD"/>
    <w:rsid w:val="00656C28"/>
    <w:rsid w:val="00656CA0"/>
    <w:rsid w:val="00657223"/>
    <w:rsid w:val="006600F6"/>
    <w:rsid w:val="0066116F"/>
    <w:rsid w:val="006628A9"/>
    <w:rsid w:val="00665695"/>
    <w:rsid w:val="00667A43"/>
    <w:rsid w:val="00667BCA"/>
    <w:rsid w:val="00670361"/>
    <w:rsid w:val="0067102F"/>
    <w:rsid w:val="00671A87"/>
    <w:rsid w:val="006734CF"/>
    <w:rsid w:val="0067350C"/>
    <w:rsid w:val="00674313"/>
    <w:rsid w:val="00675D2B"/>
    <w:rsid w:val="0068156E"/>
    <w:rsid w:val="00681E58"/>
    <w:rsid w:val="0068273D"/>
    <w:rsid w:val="006827A8"/>
    <w:rsid w:val="00682B03"/>
    <w:rsid w:val="00682DDD"/>
    <w:rsid w:val="0068486B"/>
    <w:rsid w:val="0068609B"/>
    <w:rsid w:val="00686E5E"/>
    <w:rsid w:val="00687C9F"/>
    <w:rsid w:val="00690D3E"/>
    <w:rsid w:val="00692529"/>
    <w:rsid w:val="00692957"/>
    <w:rsid w:val="00694268"/>
    <w:rsid w:val="0069637D"/>
    <w:rsid w:val="00696AB1"/>
    <w:rsid w:val="006A0003"/>
    <w:rsid w:val="006A104D"/>
    <w:rsid w:val="006A1335"/>
    <w:rsid w:val="006A330A"/>
    <w:rsid w:val="006A72C7"/>
    <w:rsid w:val="006A7545"/>
    <w:rsid w:val="006A77F6"/>
    <w:rsid w:val="006B0259"/>
    <w:rsid w:val="006B1E37"/>
    <w:rsid w:val="006B23FC"/>
    <w:rsid w:val="006B6036"/>
    <w:rsid w:val="006B7703"/>
    <w:rsid w:val="006B7F80"/>
    <w:rsid w:val="006C30CA"/>
    <w:rsid w:val="006C3A55"/>
    <w:rsid w:val="006C487B"/>
    <w:rsid w:val="006C7CCE"/>
    <w:rsid w:val="006D0DFE"/>
    <w:rsid w:val="006D3838"/>
    <w:rsid w:val="006D3D85"/>
    <w:rsid w:val="006D4220"/>
    <w:rsid w:val="006D47C2"/>
    <w:rsid w:val="006D56EE"/>
    <w:rsid w:val="006D6413"/>
    <w:rsid w:val="006D7571"/>
    <w:rsid w:val="006E1B76"/>
    <w:rsid w:val="006E2762"/>
    <w:rsid w:val="006E2DD6"/>
    <w:rsid w:val="006E496A"/>
    <w:rsid w:val="006E4D94"/>
    <w:rsid w:val="006E7567"/>
    <w:rsid w:val="006F07C2"/>
    <w:rsid w:val="006F2BFE"/>
    <w:rsid w:val="006F336D"/>
    <w:rsid w:val="006F35EA"/>
    <w:rsid w:val="006F36E4"/>
    <w:rsid w:val="006F45AC"/>
    <w:rsid w:val="006F6232"/>
    <w:rsid w:val="006F70BD"/>
    <w:rsid w:val="006F7CA0"/>
    <w:rsid w:val="00700BE6"/>
    <w:rsid w:val="0070115A"/>
    <w:rsid w:val="00702129"/>
    <w:rsid w:val="00702491"/>
    <w:rsid w:val="00703CE3"/>
    <w:rsid w:val="00703D36"/>
    <w:rsid w:val="007041F0"/>
    <w:rsid w:val="00705278"/>
    <w:rsid w:val="00706E94"/>
    <w:rsid w:val="007075F1"/>
    <w:rsid w:val="007104DC"/>
    <w:rsid w:val="007114E8"/>
    <w:rsid w:val="00711F72"/>
    <w:rsid w:val="00712427"/>
    <w:rsid w:val="007126CE"/>
    <w:rsid w:val="00713465"/>
    <w:rsid w:val="00715C59"/>
    <w:rsid w:val="00716FBC"/>
    <w:rsid w:val="0072023D"/>
    <w:rsid w:val="00720F94"/>
    <w:rsid w:val="007211BD"/>
    <w:rsid w:val="007226A3"/>
    <w:rsid w:val="0072478E"/>
    <w:rsid w:val="00724D96"/>
    <w:rsid w:val="007255D4"/>
    <w:rsid w:val="007263E2"/>
    <w:rsid w:val="0072752D"/>
    <w:rsid w:val="00727C54"/>
    <w:rsid w:val="00730C5E"/>
    <w:rsid w:val="00730FB2"/>
    <w:rsid w:val="00731CA6"/>
    <w:rsid w:val="007328B7"/>
    <w:rsid w:val="0073412D"/>
    <w:rsid w:val="00735BCD"/>
    <w:rsid w:val="0073725C"/>
    <w:rsid w:val="00741627"/>
    <w:rsid w:val="007422B8"/>
    <w:rsid w:val="0074658E"/>
    <w:rsid w:val="00747EA1"/>
    <w:rsid w:val="00750AEE"/>
    <w:rsid w:val="00751764"/>
    <w:rsid w:val="00751AA9"/>
    <w:rsid w:val="00752147"/>
    <w:rsid w:val="00752853"/>
    <w:rsid w:val="00753341"/>
    <w:rsid w:val="00754318"/>
    <w:rsid w:val="0075448E"/>
    <w:rsid w:val="007544E9"/>
    <w:rsid w:val="00755E35"/>
    <w:rsid w:val="00756228"/>
    <w:rsid w:val="00756A3C"/>
    <w:rsid w:val="007577B0"/>
    <w:rsid w:val="00761376"/>
    <w:rsid w:val="00761A8A"/>
    <w:rsid w:val="0076223E"/>
    <w:rsid w:val="007623D9"/>
    <w:rsid w:val="007643D0"/>
    <w:rsid w:val="00764EBE"/>
    <w:rsid w:val="00764F82"/>
    <w:rsid w:val="00766A3D"/>
    <w:rsid w:val="00766E1C"/>
    <w:rsid w:val="00766EE2"/>
    <w:rsid w:val="00767899"/>
    <w:rsid w:val="00771904"/>
    <w:rsid w:val="0077380C"/>
    <w:rsid w:val="00776C36"/>
    <w:rsid w:val="0077768A"/>
    <w:rsid w:val="00777CA9"/>
    <w:rsid w:val="007817E1"/>
    <w:rsid w:val="00781E06"/>
    <w:rsid w:val="007836FD"/>
    <w:rsid w:val="00784BFA"/>
    <w:rsid w:val="0078581D"/>
    <w:rsid w:val="007859FF"/>
    <w:rsid w:val="00785DAF"/>
    <w:rsid w:val="007866D2"/>
    <w:rsid w:val="00787308"/>
    <w:rsid w:val="007879DE"/>
    <w:rsid w:val="00787DDE"/>
    <w:rsid w:val="00791FA8"/>
    <w:rsid w:val="00792D2C"/>
    <w:rsid w:val="00792E2F"/>
    <w:rsid w:val="007941EE"/>
    <w:rsid w:val="00795DA8"/>
    <w:rsid w:val="0079788C"/>
    <w:rsid w:val="007A1AE7"/>
    <w:rsid w:val="007A2FA6"/>
    <w:rsid w:val="007A3AEB"/>
    <w:rsid w:val="007A621D"/>
    <w:rsid w:val="007A7FA9"/>
    <w:rsid w:val="007B0A4F"/>
    <w:rsid w:val="007B0B98"/>
    <w:rsid w:val="007B13CD"/>
    <w:rsid w:val="007B1D8E"/>
    <w:rsid w:val="007B1EE6"/>
    <w:rsid w:val="007B2C2F"/>
    <w:rsid w:val="007B3AAA"/>
    <w:rsid w:val="007B4296"/>
    <w:rsid w:val="007B64A9"/>
    <w:rsid w:val="007B6680"/>
    <w:rsid w:val="007B7B76"/>
    <w:rsid w:val="007C12E7"/>
    <w:rsid w:val="007C50B2"/>
    <w:rsid w:val="007C52C8"/>
    <w:rsid w:val="007C6ACF"/>
    <w:rsid w:val="007C7002"/>
    <w:rsid w:val="007C7474"/>
    <w:rsid w:val="007D1AF6"/>
    <w:rsid w:val="007D337C"/>
    <w:rsid w:val="007D42BD"/>
    <w:rsid w:val="007D55E0"/>
    <w:rsid w:val="007D70AB"/>
    <w:rsid w:val="007E0E23"/>
    <w:rsid w:val="007E11BB"/>
    <w:rsid w:val="007E15BE"/>
    <w:rsid w:val="007E1C93"/>
    <w:rsid w:val="007E33E6"/>
    <w:rsid w:val="007E491E"/>
    <w:rsid w:val="007E7753"/>
    <w:rsid w:val="007F04B6"/>
    <w:rsid w:val="007F1151"/>
    <w:rsid w:val="007F4675"/>
    <w:rsid w:val="007F504A"/>
    <w:rsid w:val="007F659D"/>
    <w:rsid w:val="007F6633"/>
    <w:rsid w:val="007F6BDA"/>
    <w:rsid w:val="007F731E"/>
    <w:rsid w:val="008007D2"/>
    <w:rsid w:val="00800E6E"/>
    <w:rsid w:val="00802083"/>
    <w:rsid w:val="00802964"/>
    <w:rsid w:val="00802A4C"/>
    <w:rsid w:val="00803A8B"/>
    <w:rsid w:val="00804950"/>
    <w:rsid w:val="00804CC9"/>
    <w:rsid w:val="00804E32"/>
    <w:rsid w:val="00806092"/>
    <w:rsid w:val="00807085"/>
    <w:rsid w:val="008071FD"/>
    <w:rsid w:val="00810397"/>
    <w:rsid w:val="0081071B"/>
    <w:rsid w:val="0081130D"/>
    <w:rsid w:val="00812E6A"/>
    <w:rsid w:val="008138F5"/>
    <w:rsid w:val="00814DC6"/>
    <w:rsid w:val="00816334"/>
    <w:rsid w:val="00816672"/>
    <w:rsid w:val="00816A4D"/>
    <w:rsid w:val="008171A7"/>
    <w:rsid w:val="00820CEA"/>
    <w:rsid w:val="0082192C"/>
    <w:rsid w:val="00823762"/>
    <w:rsid w:val="00825E33"/>
    <w:rsid w:val="00826727"/>
    <w:rsid w:val="00826B34"/>
    <w:rsid w:val="0082770F"/>
    <w:rsid w:val="00830BA9"/>
    <w:rsid w:val="00831615"/>
    <w:rsid w:val="008319D2"/>
    <w:rsid w:val="00831DE3"/>
    <w:rsid w:val="00832C91"/>
    <w:rsid w:val="0083494D"/>
    <w:rsid w:val="00835322"/>
    <w:rsid w:val="00837F22"/>
    <w:rsid w:val="008406A1"/>
    <w:rsid w:val="0084143E"/>
    <w:rsid w:val="00841617"/>
    <w:rsid w:val="00842DFB"/>
    <w:rsid w:val="00842FE5"/>
    <w:rsid w:val="0084329F"/>
    <w:rsid w:val="00843A6E"/>
    <w:rsid w:val="00843C1D"/>
    <w:rsid w:val="0084481D"/>
    <w:rsid w:val="0084554D"/>
    <w:rsid w:val="00846014"/>
    <w:rsid w:val="008466B8"/>
    <w:rsid w:val="0084759F"/>
    <w:rsid w:val="00847C69"/>
    <w:rsid w:val="00847E2C"/>
    <w:rsid w:val="00850128"/>
    <w:rsid w:val="00850402"/>
    <w:rsid w:val="00850D4B"/>
    <w:rsid w:val="00850DD7"/>
    <w:rsid w:val="0085101E"/>
    <w:rsid w:val="00851320"/>
    <w:rsid w:val="0085140B"/>
    <w:rsid w:val="008515DA"/>
    <w:rsid w:val="00851921"/>
    <w:rsid w:val="008523E1"/>
    <w:rsid w:val="00854074"/>
    <w:rsid w:val="008543E6"/>
    <w:rsid w:val="00855ACE"/>
    <w:rsid w:val="008560BD"/>
    <w:rsid w:val="00856171"/>
    <w:rsid w:val="00857A14"/>
    <w:rsid w:val="00857F15"/>
    <w:rsid w:val="008600EC"/>
    <w:rsid w:val="00860624"/>
    <w:rsid w:val="00860AFB"/>
    <w:rsid w:val="00860FBA"/>
    <w:rsid w:val="00861C91"/>
    <w:rsid w:val="00861F87"/>
    <w:rsid w:val="00863FCF"/>
    <w:rsid w:val="008647D3"/>
    <w:rsid w:val="00864D1C"/>
    <w:rsid w:val="008659E5"/>
    <w:rsid w:val="00865A60"/>
    <w:rsid w:val="00865CA0"/>
    <w:rsid w:val="00866E2B"/>
    <w:rsid w:val="00866F62"/>
    <w:rsid w:val="00867482"/>
    <w:rsid w:val="008674D2"/>
    <w:rsid w:val="008702BC"/>
    <w:rsid w:val="00870680"/>
    <w:rsid w:val="00870820"/>
    <w:rsid w:val="00870D10"/>
    <w:rsid w:val="00871C5D"/>
    <w:rsid w:val="008723DE"/>
    <w:rsid w:val="0087284D"/>
    <w:rsid w:val="008736B5"/>
    <w:rsid w:val="00874112"/>
    <w:rsid w:val="0087463A"/>
    <w:rsid w:val="00875201"/>
    <w:rsid w:val="00875C4A"/>
    <w:rsid w:val="00876825"/>
    <w:rsid w:val="008770B2"/>
    <w:rsid w:val="00877E66"/>
    <w:rsid w:val="008800A9"/>
    <w:rsid w:val="00880A1E"/>
    <w:rsid w:val="00881BDA"/>
    <w:rsid w:val="00884046"/>
    <w:rsid w:val="00884395"/>
    <w:rsid w:val="00885D3D"/>
    <w:rsid w:val="00886B24"/>
    <w:rsid w:val="00886C36"/>
    <w:rsid w:val="00887795"/>
    <w:rsid w:val="00890280"/>
    <w:rsid w:val="008906D3"/>
    <w:rsid w:val="00892F06"/>
    <w:rsid w:val="00894AFF"/>
    <w:rsid w:val="00895593"/>
    <w:rsid w:val="00895870"/>
    <w:rsid w:val="008962E6"/>
    <w:rsid w:val="00896F75"/>
    <w:rsid w:val="008A2BB7"/>
    <w:rsid w:val="008A3305"/>
    <w:rsid w:val="008A389F"/>
    <w:rsid w:val="008A526A"/>
    <w:rsid w:val="008A54C0"/>
    <w:rsid w:val="008A626D"/>
    <w:rsid w:val="008A664F"/>
    <w:rsid w:val="008A69A5"/>
    <w:rsid w:val="008B0103"/>
    <w:rsid w:val="008B1AA3"/>
    <w:rsid w:val="008B2A28"/>
    <w:rsid w:val="008B2C6C"/>
    <w:rsid w:val="008B2E51"/>
    <w:rsid w:val="008B427C"/>
    <w:rsid w:val="008B53CD"/>
    <w:rsid w:val="008B5B97"/>
    <w:rsid w:val="008B63E5"/>
    <w:rsid w:val="008B70BF"/>
    <w:rsid w:val="008B7C47"/>
    <w:rsid w:val="008C0877"/>
    <w:rsid w:val="008C08D1"/>
    <w:rsid w:val="008C19A2"/>
    <w:rsid w:val="008C1E64"/>
    <w:rsid w:val="008C3DA6"/>
    <w:rsid w:val="008C56D8"/>
    <w:rsid w:val="008C6A34"/>
    <w:rsid w:val="008C7243"/>
    <w:rsid w:val="008D0443"/>
    <w:rsid w:val="008D2272"/>
    <w:rsid w:val="008D3F31"/>
    <w:rsid w:val="008D5EA3"/>
    <w:rsid w:val="008D70D9"/>
    <w:rsid w:val="008D70E5"/>
    <w:rsid w:val="008D7350"/>
    <w:rsid w:val="008D75D7"/>
    <w:rsid w:val="008E00FC"/>
    <w:rsid w:val="008E0418"/>
    <w:rsid w:val="008E206F"/>
    <w:rsid w:val="008E25DB"/>
    <w:rsid w:val="008E6BA5"/>
    <w:rsid w:val="008E6F33"/>
    <w:rsid w:val="008F02AC"/>
    <w:rsid w:val="008F0655"/>
    <w:rsid w:val="008F0C36"/>
    <w:rsid w:val="008F0FFD"/>
    <w:rsid w:val="008F10AF"/>
    <w:rsid w:val="008F1343"/>
    <w:rsid w:val="008F14B5"/>
    <w:rsid w:val="008F1689"/>
    <w:rsid w:val="008F1E51"/>
    <w:rsid w:val="008F25EC"/>
    <w:rsid w:val="008F532B"/>
    <w:rsid w:val="008F5738"/>
    <w:rsid w:val="008F6717"/>
    <w:rsid w:val="008F6F5B"/>
    <w:rsid w:val="009005AB"/>
    <w:rsid w:val="0090208D"/>
    <w:rsid w:val="00903287"/>
    <w:rsid w:val="00903717"/>
    <w:rsid w:val="00903A07"/>
    <w:rsid w:val="009077F1"/>
    <w:rsid w:val="00907877"/>
    <w:rsid w:val="00911265"/>
    <w:rsid w:val="00911DBA"/>
    <w:rsid w:val="00912661"/>
    <w:rsid w:val="00915A9A"/>
    <w:rsid w:val="00916118"/>
    <w:rsid w:val="00920B9C"/>
    <w:rsid w:val="009234A9"/>
    <w:rsid w:val="00923A3F"/>
    <w:rsid w:val="00924A4C"/>
    <w:rsid w:val="00925F46"/>
    <w:rsid w:val="00926319"/>
    <w:rsid w:val="00927810"/>
    <w:rsid w:val="0093023D"/>
    <w:rsid w:val="00930342"/>
    <w:rsid w:val="00931C48"/>
    <w:rsid w:val="009335B6"/>
    <w:rsid w:val="00933B66"/>
    <w:rsid w:val="0093534A"/>
    <w:rsid w:val="0093703C"/>
    <w:rsid w:val="009404AD"/>
    <w:rsid w:val="009411BF"/>
    <w:rsid w:val="00941695"/>
    <w:rsid w:val="00941839"/>
    <w:rsid w:val="00941F89"/>
    <w:rsid w:val="009439B4"/>
    <w:rsid w:val="009459A9"/>
    <w:rsid w:val="00947232"/>
    <w:rsid w:val="00947632"/>
    <w:rsid w:val="009500EF"/>
    <w:rsid w:val="009502AF"/>
    <w:rsid w:val="00950300"/>
    <w:rsid w:val="00950C9D"/>
    <w:rsid w:val="00951465"/>
    <w:rsid w:val="009523CD"/>
    <w:rsid w:val="009536E3"/>
    <w:rsid w:val="009539A4"/>
    <w:rsid w:val="0095524C"/>
    <w:rsid w:val="00956104"/>
    <w:rsid w:val="00956228"/>
    <w:rsid w:val="0095721B"/>
    <w:rsid w:val="00962A4A"/>
    <w:rsid w:val="00963191"/>
    <w:rsid w:val="009636E9"/>
    <w:rsid w:val="0096372C"/>
    <w:rsid w:val="00963E6A"/>
    <w:rsid w:val="00964E99"/>
    <w:rsid w:val="0096538B"/>
    <w:rsid w:val="0096552A"/>
    <w:rsid w:val="00966689"/>
    <w:rsid w:val="00967AEE"/>
    <w:rsid w:val="00974668"/>
    <w:rsid w:val="00974A3F"/>
    <w:rsid w:val="0098007A"/>
    <w:rsid w:val="00981146"/>
    <w:rsid w:val="009811AD"/>
    <w:rsid w:val="0098148B"/>
    <w:rsid w:val="009817B5"/>
    <w:rsid w:val="00981B10"/>
    <w:rsid w:val="0098323F"/>
    <w:rsid w:val="009833DA"/>
    <w:rsid w:val="00983A3B"/>
    <w:rsid w:val="0098473B"/>
    <w:rsid w:val="00984E09"/>
    <w:rsid w:val="00985837"/>
    <w:rsid w:val="009866F1"/>
    <w:rsid w:val="00987664"/>
    <w:rsid w:val="009900FC"/>
    <w:rsid w:val="00990B3A"/>
    <w:rsid w:val="00992D19"/>
    <w:rsid w:val="009938FE"/>
    <w:rsid w:val="00994C8E"/>
    <w:rsid w:val="00996F53"/>
    <w:rsid w:val="00997AA4"/>
    <w:rsid w:val="00997B1E"/>
    <w:rsid w:val="00997E41"/>
    <w:rsid w:val="009A03D7"/>
    <w:rsid w:val="009A07F2"/>
    <w:rsid w:val="009A2491"/>
    <w:rsid w:val="009A2AD2"/>
    <w:rsid w:val="009A4B9D"/>
    <w:rsid w:val="009A6FBF"/>
    <w:rsid w:val="009A7238"/>
    <w:rsid w:val="009A7D25"/>
    <w:rsid w:val="009B01E2"/>
    <w:rsid w:val="009B056B"/>
    <w:rsid w:val="009B10A5"/>
    <w:rsid w:val="009B32CD"/>
    <w:rsid w:val="009B3E93"/>
    <w:rsid w:val="009B446D"/>
    <w:rsid w:val="009B4CED"/>
    <w:rsid w:val="009B4DD3"/>
    <w:rsid w:val="009B4F99"/>
    <w:rsid w:val="009B5810"/>
    <w:rsid w:val="009B59AF"/>
    <w:rsid w:val="009B5F10"/>
    <w:rsid w:val="009B6037"/>
    <w:rsid w:val="009C0307"/>
    <w:rsid w:val="009C052A"/>
    <w:rsid w:val="009C2E3F"/>
    <w:rsid w:val="009C3FC6"/>
    <w:rsid w:val="009C6CB1"/>
    <w:rsid w:val="009C76A3"/>
    <w:rsid w:val="009C7973"/>
    <w:rsid w:val="009D0A8E"/>
    <w:rsid w:val="009D0E62"/>
    <w:rsid w:val="009D15EA"/>
    <w:rsid w:val="009D172D"/>
    <w:rsid w:val="009D37EC"/>
    <w:rsid w:val="009D39BE"/>
    <w:rsid w:val="009D50BB"/>
    <w:rsid w:val="009D7552"/>
    <w:rsid w:val="009E115F"/>
    <w:rsid w:val="009E1E03"/>
    <w:rsid w:val="009E2004"/>
    <w:rsid w:val="009E2364"/>
    <w:rsid w:val="009E483F"/>
    <w:rsid w:val="009E5C9E"/>
    <w:rsid w:val="009E7D2A"/>
    <w:rsid w:val="009F0EE0"/>
    <w:rsid w:val="009F210F"/>
    <w:rsid w:val="009F225D"/>
    <w:rsid w:val="009F2416"/>
    <w:rsid w:val="009F2E67"/>
    <w:rsid w:val="009F319E"/>
    <w:rsid w:val="009F5FAB"/>
    <w:rsid w:val="009F72F9"/>
    <w:rsid w:val="009F734C"/>
    <w:rsid w:val="00A0398F"/>
    <w:rsid w:val="00A04146"/>
    <w:rsid w:val="00A044AE"/>
    <w:rsid w:val="00A04691"/>
    <w:rsid w:val="00A0560F"/>
    <w:rsid w:val="00A06675"/>
    <w:rsid w:val="00A07361"/>
    <w:rsid w:val="00A106DC"/>
    <w:rsid w:val="00A10F04"/>
    <w:rsid w:val="00A1130F"/>
    <w:rsid w:val="00A115F8"/>
    <w:rsid w:val="00A13455"/>
    <w:rsid w:val="00A13608"/>
    <w:rsid w:val="00A1429E"/>
    <w:rsid w:val="00A14380"/>
    <w:rsid w:val="00A14543"/>
    <w:rsid w:val="00A154BD"/>
    <w:rsid w:val="00A17469"/>
    <w:rsid w:val="00A22942"/>
    <w:rsid w:val="00A231F0"/>
    <w:rsid w:val="00A2712D"/>
    <w:rsid w:val="00A3195E"/>
    <w:rsid w:val="00A3196B"/>
    <w:rsid w:val="00A32E7A"/>
    <w:rsid w:val="00A3354A"/>
    <w:rsid w:val="00A33E7A"/>
    <w:rsid w:val="00A34812"/>
    <w:rsid w:val="00A35FC5"/>
    <w:rsid w:val="00A37E64"/>
    <w:rsid w:val="00A401ED"/>
    <w:rsid w:val="00A40270"/>
    <w:rsid w:val="00A405B2"/>
    <w:rsid w:val="00A40A76"/>
    <w:rsid w:val="00A40D0F"/>
    <w:rsid w:val="00A41838"/>
    <w:rsid w:val="00A41E0F"/>
    <w:rsid w:val="00A42601"/>
    <w:rsid w:val="00A42AFB"/>
    <w:rsid w:val="00A4301E"/>
    <w:rsid w:val="00A431C7"/>
    <w:rsid w:val="00A43523"/>
    <w:rsid w:val="00A4530A"/>
    <w:rsid w:val="00A4702F"/>
    <w:rsid w:val="00A473AB"/>
    <w:rsid w:val="00A50399"/>
    <w:rsid w:val="00A50B59"/>
    <w:rsid w:val="00A50C9E"/>
    <w:rsid w:val="00A50CB9"/>
    <w:rsid w:val="00A51F26"/>
    <w:rsid w:val="00A5288B"/>
    <w:rsid w:val="00A529EB"/>
    <w:rsid w:val="00A52D1D"/>
    <w:rsid w:val="00A52F50"/>
    <w:rsid w:val="00A533BD"/>
    <w:rsid w:val="00A53D98"/>
    <w:rsid w:val="00A54E01"/>
    <w:rsid w:val="00A55376"/>
    <w:rsid w:val="00A5637C"/>
    <w:rsid w:val="00A568C6"/>
    <w:rsid w:val="00A56AF7"/>
    <w:rsid w:val="00A57E82"/>
    <w:rsid w:val="00A62F77"/>
    <w:rsid w:val="00A63331"/>
    <w:rsid w:val="00A63BC8"/>
    <w:rsid w:val="00A65779"/>
    <w:rsid w:val="00A66A09"/>
    <w:rsid w:val="00A708C0"/>
    <w:rsid w:val="00A70CFD"/>
    <w:rsid w:val="00A715B4"/>
    <w:rsid w:val="00A7330F"/>
    <w:rsid w:val="00A742FA"/>
    <w:rsid w:val="00A74D42"/>
    <w:rsid w:val="00A7557D"/>
    <w:rsid w:val="00A76281"/>
    <w:rsid w:val="00A76579"/>
    <w:rsid w:val="00A7671E"/>
    <w:rsid w:val="00A76F0A"/>
    <w:rsid w:val="00A7784A"/>
    <w:rsid w:val="00A77C37"/>
    <w:rsid w:val="00A77EAE"/>
    <w:rsid w:val="00A82D2E"/>
    <w:rsid w:val="00A839A8"/>
    <w:rsid w:val="00A83CC5"/>
    <w:rsid w:val="00A84DCF"/>
    <w:rsid w:val="00A855E4"/>
    <w:rsid w:val="00A86EBC"/>
    <w:rsid w:val="00A86F78"/>
    <w:rsid w:val="00A872AF"/>
    <w:rsid w:val="00A91049"/>
    <w:rsid w:val="00A93B3D"/>
    <w:rsid w:val="00A94121"/>
    <w:rsid w:val="00A943BB"/>
    <w:rsid w:val="00A9488F"/>
    <w:rsid w:val="00A9621C"/>
    <w:rsid w:val="00A96EB5"/>
    <w:rsid w:val="00A975A7"/>
    <w:rsid w:val="00AA14BA"/>
    <w:rsid w:val="00AA22A9"/>
    <w:rsid w:val="00AA30D4"/>
    <w:rsid w:val="00AA33AA"/>
    <w:rsid w:val="00AA3BEA"/>
    <w:rsid w:val="00AA46AD"/>
    <w:rsid w:val="00AA4DE7"/>
    <w:rsid w:val="00AA6471"/>
    <w:rsid w:val="00AA6598"/>
    <w:rsid w:val="00AA70ED"/>
    <w:rsid w:val="00AB0F05"/>
    <w:rsid w:val="00AB226E"/>
    <w:rsid w:val="00AB2CC8"/>
    <w:rsid w:val="00AB2F66"/>
    <w:rsid w:val="00AB30E9"/>
    <w:rsid w:val="00AB4D71"/>
    <w:rsid w:val="00AB5AC6"/>
    <w:rsid w:val="00AB6611"/>
    <w:rsid w:val="00AB6F62"/>
    <w:rsid w:val="00AB7730"/>
    <w:rsid w:val="00AC0072"/>
    <w:rsid w:val="00AC2174"/>
    <w:rsid w:val="00AC277D"/>
    <w:rsid w:val="00AC2B95"/>
    <w:rsid w:val="00AC2BD4"/>
    <w:rsid w:val="00AC3C56"/>
    <w:rsid w:val="00AC3FE7"/>
    <w:rsid w:val="00AC46C5"/>
    <w:rsid w:val="00AC4CA3"/>
    <w:rsid w:val="00AC72FB"/>
    <w:rsid w:val="00AC7F7B"/>
    <w:rsid w:val="00AD0783"/>
    <w:rsid w:val="00AD2285"/>
    <w:rsid w:val="00AD2415"/>
    <w:rsid w:val="00AD2599"/>
    <w:rsid w:val="00AD421A"/>
    <w:rsid w:val="00AD7189"/>
    <w:rsid w:val="00AD7BE2"/>
    <w:rsid w:val="00AE1D0D"/>
    <w:rsid w:val="00AE1E3A"/>
    <w:rsid w:val="00AE353D"/>
    <w:rsid w:val="00AE4CBA"/>
    <w:rsid w:val="00AE4D4D"/>
    <w:rsid w:val="00AE4E61"/>
    <w:rsid w:val="00AE5048"/>
    <w:rsid w:val="00AE5815"/>
    <w:rsid w:val="00AE5854"/>
    <w:rsid w:val="00AE5A36"/>
    <w:rsid w:val="00AE6475"/>
    <w:rsid w:val="00AF19C5"/>
    <w:rsid w:val="00AF2558"/>
    <w:rsid w:val="00AF2B47"/>
    <w:rsid w:val="00AF3678"/>
    <w:rsid w:val="00AF446E"/>
    <w:rsid w:val="00AF4658"/>
    <w:rsid w:val="00AF506D"/>
    <w:rsid w:val="00AF58CD"/>
    <w:rsid w:val="00AF7082"/>
    <w:rsid w:val="00AF7B78"/>
    <w:rsid w:val="00B00343"/>
    <w:rsid w:val="00B003D2"/>
    <w:rsid w:val="00B009DE"/>
    <w:rsid w:val="00B00B11"/>
    <w:rsid w:val="00B00F12"/>
    <w:rsid w:val="00B01098"/>
    <w:rsid w:val="00B02C2F"/>
    <w:rsid w:val="00B033FB"/>
    <w:rsid w:val="00B034BB"/>
    <w:rsid w:val="00B03DD5"/>
    <w:rsid w:val="00B04340"/>
    <w:rsid w:val="00B0484E"/>
    <w:rsid w:val="00B04D9B"/>
    <w:rsid w:val="00B05B89"/>
    <w:rsid w:val="00B05C7B"/>
    <w:rsid w:val="00B0613A"/>
    <w:rsid w:val="00B06C42"/>
    <w:rsid w:val="00B076DF"/>
    <w:rsid w:val="00B100B5"/>
    <w:rsid w:val="00B103BE"/>
    <w:rsid w:val="00B127C2"/>
    <w:rsid w:val="00B1280B"/>
    <w:rsid w:val="00B12DEF"/>
    <w:rsid w:val="00B1311C"/>
    <w:rsid w:val="00B13FFD"/>
    <w:rsid w:val="00B142B9"/>
    <w:rsid w:val="00B1488B"/>
    <w:rsid w:val="00B16F15"/>
    <w:rsid w:val="00B176C9"/>
    <w:rsid w:val="00B202C9"/>
    <w:rsid w:val="00B22F58"/>
    <w:rsid w:val="00B23403"/>
    <w:rsid w:val="00B2505B"/>
    <w:rsid w:val="00B25C9E"/>
    <w:rsid w:val="00B2606B"/>
    <w:rsid w:val="00B26F22"/>
    <w:rsid w:val="00B27514"/>
    <w:rsid w:val="00B27687"/>
    <w:rsid w:val="00B2776A"/>
    <w:rsid w:val="00B344B2"/>
    <w:rsid w:val="00B36256"/>
    <w:rsid w:val="00B36F44"/>
    <w:rsid w:val="00B37247"/>
    <w:rsid w:val="00B379E2"/>
    <w:rsid w:val="00B407CF"/>
    <w:rsid w:val="00B40B94"/>
    <w:rsid w:val="00B40D14"/>
    <w:rsid w:val="00B4168D"/>
    <w:rsid w:val="00B42FBF"/>
    <w:rsid w:val="00B4378C"/>
    <w:rsid w:val="00B45D1E"/>
    <w:rsid w:val="00B46D47"/>
    <w:rsid w:val="00B472A3"/>
    <w:rsid w:val="00B5034F"/>
    <w:rsid w:val="00B5223A"/>
    <w:rsid w:val="00B52242"/>
    <w:rsid w:val="00B52F55"/>
    <w:rsid w:val="00B539D7"/>
    <w:rsid w:val="00B567BE"/>
    <w:rsid w:val="00B56921"/>
    <w:rsid w:val="00B607C8"/>
    <w:rsid w:val="00B608BC"/>
    <w:rsid w:val="00B633EA"/>
    <w:rsid w:val="00B64A72"/>
    <w:rsid w:val="00B65762"/>
    <w:rsid w:val="00B65A89"/>
    <w:rsid w:val="00B65D78"/>
    <w:rsid w:val="00B662BC"/>
    <w:rsid w:val="00B679EB"/>
    <w:rsid w:val="00B70145"/>
    <w:rsid w:val="00B702D2"/>
    <w:rsid w:val="00B702EC"/>
    <w:rsid w:val="00B70360"/>
    <w:rsid w:val="00B70723"/>
    <w:rsid w:val="00B72257"/>
    <w:rsid w:val="00B727BD"/>
    <w:rsid w:val="00B739AE"/>
    <w:rsid w:val="00B73DA3"/>
    <w:rsid w:val="00B74C1C"/>
    <w:rsid w:val="00B7531B"/>
    <w:rsid w:val="00B759C0"/>
    <w:rsid w:val="00B75CF8"/>
    <w:rsid w:val="00B75D1B"/>
    <w:rsid w:val="00B76354"/>
    <w:rsid w:val="00B7742B"/>
    <w:rsid w:val="00B777F0"/>
    <w:rsid w:val="00B77E5B"/>
    <w:rsid w:val="00B77FE9"/>
    <w:rsid w:val="00B82AEF"/>
    <w:rsid w:val="00B830AC"/>
    <w:rsid w:val="00B831BD"/>
    <w:rsid w:val="00B8323F"/>
    <w:rsid w:val="00B83394"/>
    <w:rsid w:val="00B83CC4"/>
    <w:rsid w:val="00B85938"/>
    <w:rsid w:val="00B87507"/>
    <w:rsid w:val="00B93AEF"/>
    <w:rsid w:val="00B95591"/>
    <w:rsid w:val="00B96468"/>
    <w:rsid w:val="00B974C8"/>
    <w:rsid w:val="00BA0BB0"/>
    <w:rsid w:val="00BA12AA"/>
    <w:rsid w:val="00BA1650"/>
    <w:rsid w:val="00BA26D2"/>
    <w:rsid w:val="00BA3F01"/>
    <w:rsid w:val="00BA3F96"/>
    <w:rsid w:val="00BA41D0"/>
    <w:rsid w:val="00BA5151"/>
    <w:rsid w:val="00BA52C4"/>
    <w:rsid w:val="00BA59BA"/>
    <w:rsid w:val="00BA6629"/>
    <w:rsid w:val="00BA7982"/>
    <w:rsid w:val="00BA7A10"/>
    <w:rsid w:val="00BA7C02"/>
    <w:rsid w:val="00BB1583"/>
    <w:rsid w:val="00BB23EB"/>
    <w:rsid w:val="00BB35A6"/>
    <w:rsid w:val="00BB4ECD"/>
    <w:rsid w:val="00BB584C"/>
    <w:rsid w:val="00BB5948"/>
    <w:rsid w:val="00BB65D0"/>
    <w:rsid w:val="00BB7513"/>
    <w:rsid w:val="00BC0172"/>
    <w:rsid w:val="00BC0699"/>
    <w:rsid w:val="00BC0B67"/>
    <w:rsid w:val="00BC158E"/>
    <w:rsid w:val="00BC1D56"/>
    <w:rsid w:val="00BC3FCA"/>
    <w:rsid w:val="00BC406E"/>
    <w:rsid w:val="00BC4173"/>
    <w:rsid w:val="00BC4777"/>
    <w:rsid w:val="00BC51DC"/>
    <w:rsid w:val="00BC5774"/>
    <w:rsid w:val="00BD0EB1"/>
    <w:rsid w:val="00BD1120"/>
    <w:rsid w:val="00BD1396"/>
    <w:rsid w:val="00BD1B79"/>
    <w:rsid w:val="00BD220E"/>
    <w:rsid w:val="00BD254E"/>
    <w:rsid w:val="00BD25D7"/>
    <w:rsid w:val="00BD4B32"/>
    <w:rsid w:val="00BD6398"/>
    <w:rsid w:val="00BD6F04"/>
    <w:rsid w:val="00BE01DF"/>
    <w:rsid w:val="00BE0869"/>
    <w:rsid w:val="00BE156C"/>
    <w:rsid w:val="00BE25F0"/>
    <w:rsid w:val="00BE3BB0"/>
    <w:rsid w:val="00BE3D2C"/>
    <w:rsid w:val="00BE4C2C"/>
    <w:rsid w:val="00BE4D86"/>
    <w:rsid w:val="00BE4EEA"/>
    <w:rsid w:val="00BE719D"/>
    <w:rsid w:val="00BE7C79"/>
    <w:rsid w:val="00BF006F"/>
    <w:rsid w:val="00BF14BF"/>
    <w:rsid w:val="00BF177F"/>
    <w:rsid w:val="00BF254C"/>
    <w:rsid w:val="00BF2724"/>
    <w:rsid w:val="00BF2772"/>
    <w:rsid w:val="00BF2CAF"/>
    <w:rsid w:val="00BF33AF"/>
    <w:rsid w:val="00BF366C"/>
    <w:rsid w:val="00BF3DC5"/>
    <w:rsid w:val="00BF43C1"/>
    <w:rsid w:val="00BF4AEB"/>
    <w:rsid w:val="00BF5E1D"/>
    <w:rsid w:val="00BF6EE2"/>
    <w:rsid w:val="00BF725E"/>
    <w:rsid w:val="00BF75B0"/>
    <w:rsid w:val="00C0008E"/>
    <w:rsid w:val="00C00F16"/>
    <w:rsid w:val="00C01333"/>
    <w:rsid w:val="00C02287"/>
    <w:rsid w:val="00C02708"/>
    <w:rsid w:val="00C036CF"/>
    <w:rsid w:val="00C043FF"/>
    <w:rsid w:val="00C0453C"/>
    <w:rsid w:val="00C04ADC"/>
    <w:rsid w:val="00C0542E"/>
    <w:rsid w:val="00C061FC"/>
    <w:rsid w:val="00C07162"/>
    <w:rsid w:val="00C0798E"/>
    <w:rsid w:val="00C10D4D"/>
    <w:rsid w:val="00C1151F"/>
    <w:rsid w:val="00C14939"/>
    <w:rsid w:val="00C22450"/>
    <w:rsid w:val="00C22593"/>
    <w:rsid w:val="00C22C4F"/>
    <w:rsid w:val="00C22CA2"/>
    <w:rsid w:val="00C23E25"/>
    <w:rsid w:val="00C24C08"/>
    <w:rsid w:val="00C24D31"/>
    <w:rsid w:val="00C25261"/>
    <w:rsid w:val="00C25614"/>
    <w:rsid w:val="00C25C33"/>
    <w:rsid w:val="00C25FDF"/>
    <w:rsid w:val="00C2631F"/>
    <w:rsid w:val="00C26955"/>
    <w:rsid w:val="00C274C3"/>
    <w:rsid w:val="00C30A07"/>
    <w:rsid w:val="00C31CCD"/>
    <w:rsid w:val="00C321A5"/>
    <w:rsid w:val="00C3290B"/>
    <w:rsid w:val="00C3372F"/>
    <w:rsid w:val="00C33FAA"/>
    <w:rsid w:val="00C34ED0"/>
    <w:rsid w:val="00C35C84"/>
    <w:rsid w:val="00C36519"/>
    <w:rsid w:val="00C368DC"/>
    <w:rsid w:val="00C36BCD"/>
    <w:rsid w:val="00C411F0"/>
    <w:rsid w:val="00C41A67"/>
    <w:rsid w:val="00C42CAD"/>
    <w:rsid w:val="00C4334D"/>
    <w:rsid w:val="00C442D2"/>
    <w:rsid w:val="00C46644"/>
    <w:rsid w:val="00C477D0"/>
    <w:rsid w:val="00C47E22"/>
    <w:rsid w:val="00C51768"/>
    <w:rsid w:val="00C51C66"/>
    <w:rsid w:val="00C544D9"/>
    <w:rsid w:val="00C544F0"/>
    <w:rsid w:val="00C54F8E"/>
    <w:rsid w:val="00C57B25"/>
    <w:rsid w:val="00C600AA"/>
    <w:rsid w:val="00C6053B"/>
    <w:rsid w:val="00C60F55"/>
    <w:rsid w:val="00C63C97"/>
    <w:rsid w:val="00C64588"/>
    <w:rsid w:val="00C6611C"/>
    <w:rsid w:val="00C671CD"/>
    <w:rsid w:val="00C67593"/>
    <w:rsid w:val="00C70669"/>
    <w:rsid w:val="00C707E3"/>
    <w:rsid w:val="00C7131D"/>
    <w:rsid w:val="00C713A1"/>
    <w:rsid w:val="00C714B1"/>
    <w:rsid w:val="00C7207E"/>
    <w:rsid w:val="00C7376F"/>
    <w:rsid w:val="00C73DB4"/>
    <w:rsid w:val="00C740AC"/>
    <w:rsid w:val="00C742F1"/>
    <w:rsid w:val="00C74A10"/>
    <w:rsid w:val="00C75DB6"/>
    <w:rsid w:val="00C760A4"/>
    <w:rsid w:val="00C76C5E"/>
    <w:rsid w:val="00C76C87"/>
    <w:rsid w:val="00C76CB8"/>
    <w:rsid w:val="00C77637"/>
    <w:rsid w:val="00C81F96"/>
    <w:rsid w:val="00C82512"/>
    <w:rsid w:val="00C833A6"/>
    <w:rsid w:val="00C845E8"/>
    <w:rsid w:val="00C84F2B"/>
    <w:rsid w:val="00C85593"/>
    <w:rsid w:val="00C856DD"/>
    <w:rsid w:val="00C86AB2"/>
    <w:rsid w:val="00C910AF"/>
    <w:rsid w:val="00C9547A"/>
    <w:rsid w:val="00C96E50"/>
    <w:rsid w:val="00C97631"/>
    <w:rsid w:val="00CA0AE7"/>
    <w:rsid w:val="00CA0F79"/>
    <w:rsid w:val="00CA2BD5"/>
    <w:rsid w:val="00CA2ED4"/>
    <w:rsid w:val="00CA4956"/>
    <w:rsid w:val="00CA517E"/>
    <w:rsid w:val="00CA5A68"/>
    <w:rsid w:val="00CA5E1F"/>
    <w:rsid w:val="00CA6347"/>
    <w:rsid w:val="00CA7AE9"/>
    <w:rsid w:val="00CB10F9"/>
    <w:rsid w:val="00CB2E0C"/>
    <w:rsid w:val="00CB3A86"/>
    <w:rsid w:val="00CB5CCD"/>
    <w:rsid w:val="00CB5D06"/>
    <w:rsid w:val="00CB751B"/>
    <w:rsid w:val="00CC1059"/>
    <w:rsid w:val="00CC1814"/>
    <w:rsid w:val="00CC18A9"/>
    <w:rsid w:val="00CC1B31"/>
    <w:rsid w:val="00CC3141"/>
    <w:rsid w:val="00CC3594"/>
    <w:rsid w:val="00CC5067"/>
    <w:rsid w:val="00CC51B7"/>
    <w:rsid w:val="00CC6AC4"/>
    <w:rsid w:val="00CC70F0"/>
    <w:rsid w:val="00CC72FA"/>
    <w:rsid w:val="00CC7541"/>
    <w:rsid w:val="00CD0C94"/>
    <w:rsid w:val="00CD1E70"/>
    <w:rsid w:val="00CD201F"/>
    <w:rsid w:val="00CD3C2B"/>
    <w:rsid w:val="00CD47CF"/>
    <w:rsid w:val="00CD4A4A"/>
    <w:rsid w:val="00CD58D4"/>
    <w:rsid w:val="00CD7421"/>
    <w:rsid w:val="00CE0010"/>
    <w:rsid w:val="00CE170C"/>
    <w:rsid w:val="00CE2349"/>
    <w:rsid w:val="00CE30B0"/>
    <w:rsid w:val="00CE3B8A"/>
    <w:rsid w:val="00CE3CC1"/>
    <w:rsid w:val="00CE4854"/>
    <w:rsid w:val="00CE5F97"/>
    <w:rsid w:val="00CE6CF6"/>
    <w:rsid w:val="00CE772A"/>
    <w:rsid w:val="00CE79BA"/>
    <w:rsid w:val="00CF1E4C"/>
    <w:rsid w:val="00CF2778"/>
    <w:rsid w:val="00CF3971"/>
    <w:rsid w:val="00CF7C32"/>
    <w:rsid w:val="00D005E8"/>
    <w:rsid w:val="00D00B23"/>
    <w:rsid w:val="00D01205"/>
    <w:rsid w:val="00D027A5"/>
    <w:rsid w:val="00D030A2"/>
    <w:rsid w:val="00D04C2E"/>
    <w:rsid w:val="00D053A5"/>
    <w:rsid w:val="00D06882"/>
    <w:rsid w:val="00D0719B"/>
    <w:rsid w:val="00D071F3"/>
    <w:rsid w:val="00D1005C"/>
    <w:rsid w:val="00D10AB3"/>
    <w:rsid w:val="00D11B89"/>
    <w:rsid w:val="00D11F9A"/>
    <w:rsid w:val="00D127A5"/>
    <w:rsid w:val="00D1602C"/>
    <w:rsid w:val="00D17B04"/>
    <w:rsid w:val="00D17F89"/>
    <w:rsid w:val="00D20AEF"/>
    <w:rsid w:val="00D21FB6"/>
    <w:rsid w:val="00D240BA"/>
    <w:rsid w:val="00D2447E"/>
    <w:rsid w:val="00D25C0F"/>
    <w:rsid w:val="00D27AAE"/>
    <w:rsid w:val="00D27B2C"/>
    <w:rsid w:val="00D31545"/>
    <w:rsid w:val="00D32EE1"/>
    <w:rsid w:val="00D32F0E"/>
    <w:rsid w:val="00D3346F"/>
    <w:rsid w:val="00D33526"/>
    <w:rsid w:val="00D36897"/>
    <w:rsid w:val="00D368FE"/>
    <w:rsid w:val="00D3727F"/>
    <w:rsid w:val="00D378F8"/>
    <w:rsid w:val="00D4231C"/>
    <w:rsid w:val="00D42455"/>
    <w:rsid w:val="00D431A3"/>
    <w:rsid w:val="00D43605"/>
    <w:rsid w:val="00D4371E"/>
    <w:rsid w:val="00D43B3C"/>
    <w:rsid w:val="00D43C02"/>
    <w:rsid w:val="00D43F8B"/>
    <w:rsid w:val="00D45618"/>
    <w:rsid w:val="00D45A7E"/>
    <w:rsid w:val="00D4696F"/>
    <w:rsid w:val="00D469EC"/>
    <w:rsid w:val="00D46C6A"/>
    <w:rsid w:val="00D4723C"/>
    <w:rsid w:val="00D47380"/>
    <w:rsid w:val="00D509BD"/>
    <w:rsid w:val="00D51BAC"/>
    <w:rsid w:val="00D53261"/>
    <w:rsid w:val="00D53AEA"/>
    <w:rsid w:val="00D542A0"/>
    <w:rsid w:val="00D54B38"/>
    <w:rsid w:val="00D54E9B"/>
    <w:rsid w:val="00D555BB"/>
    <w:rsid w:val="00D56128"/>
    <w:rsid w:val="00D563CD"/>
    <w:rsid w:val="00D601F6"/>
    <w:rsid w:val="00D6174D"/>
    <w:rsid w:val="00D67146"/>
    <w:rsid w:val="00D67933"/>
    <w:rsid w:val="00D718BD"/>
    <w:rsid w:val="00D71DF8"/>
    <w:rsid w:val="00D72816"/>
    <w:rsid w:val="00D732D8"/>
    <w:rsid w:val="00D736E0"/>
    <w:rsid w:val="00D73F4C"/>
    <w:rsid w:val="00D755EE"/>
    <w:rsid w:val="00D76BC0"/>
    <w:rsid w:val="00D80445"/>
    <w:rsid w:val="00D81A09"/>
    <w:rsid w:val="00D82423"/>
    <w:rsid w:val="00D844A5"/>
    <w:rsid w:val="00D85615"/>
    <w:rsid w:val="00D87961"/>
    <w:rsid w:val="00D90AD4"/>
    <w:rsid w:val="00D927F0"/>
    <w:rsid w:val="00D92CF4"/>
    <w:rsid w:val="00D92CFE"/>
    <w:rsid w:val="00D92DC4"/>
    <w:rsid w:val="00D9417B"/>
    <w:rsid w:val="00D94CF3"/>
    <w:rsid w:val="00D9507E"/>
    <w:rsid w:val="00D96694"/>
    <w:rsid w:val="00DA03B9"/>
    <w:rsid w:val="00DA0606"/>
    <w:rsid w:val="00DA0FA1"/>
    <w:rsid w:val="00DA108D"/>
    <w:rsid w:val="00DA210C"/>
    <w:rsid w:val="00DA2740"/>
    <w:rsid w:val="00DA2C79"/>
    <w:rsid w:val="00DA3E88"/>
    <w:rsid w:val="00DA4CDE"/>
    <w:rsid w:val="00DA4D56"/>
    <w:rsid w:val="00DA6119"/>
    <w:rsid w:val="00DA6D60"/>
    <w:rsid w:val="00DA7690"/>
    <w:rsid w:val="00DA7859"/>
    <w:rsid w:val="00DB1936"/>
    <w:rsid w:val="00DB19B4"/>
    <w:rsid w:val="00DB1EDC"/>
    <w:rsid w:val="00DB23E3"/>
    <w:rsid w:val="00DB3056"/>
    <w:rsid w:val="00DB39CF"/>
    <w:rsid w:val="00DB3A89"/>
    <w:rsid w:val="00DB52C7"/>
    <w:rsid w:val="00DB5FFA"/>
    <w:rsid w:val="00DB71CB"/>
    <w:rsid w:val="00DB74CF"/>
    <w:rsid w:val="00DB7C61"/>
    <w:rsid w:val="00DB7F5B"/>
    <w:rsid w:val="00DC0FDB"/>
    <w:rsid w:val="00DC1A80"/>
    <w:rsid w:val="00DC45CF"/>
    <w:rsid w:val="00DC7321"/>
    <w:rsid w:val="00DD172F"/>
    <w:rsid w:val="00DD35C1"/>
    <w:rsid w:val="00DD4024"/>
    <w:rsid w:val="00DD58BE"/>
    <w:rsid w:val="00DD5FE5"/>
    <w:rsid w:val="00DD7796"/>
    <w:rsid w:val="00DE0772"/>
    <w:rsid w:val="00DE12C2"/>
    <w:rsid w:val="00DE20C9"/>
    <w:rsid w:val="00DE20D7"/>
    <w:rsid w:val="00DE21B9"/>
    <w:rsid w:val="00DE3467"/>
    <w:rsid w:val="00DE34A7"/>
    <w:rsid w:val="00DE49E5"/>
    <w:rsid w:val="00DE4CB9"/>
    <w:rsid w:val="00DE58F5"/>
    <w:rsid w:val="00DE5F0A"/>
    <w:rsid w:val="00DE6EED"/>
    <w:rsid w:val="00DF1F98"/>
    <w:rsid w:val="00DF461C"/>
    <w:rsid w:val="00DF698C"/>
    <w:rsid w:val="00E00646"/>
    <w:rsid w:val="00E007CA"/>
    <w:rsid w:val="00E01566"/>
    <w:rsid w:val="00E019C7"/>
    <w:rsid w:val="00E028B4"/>
    <w:rsid w:val="00E034C7"/>
    <w:rsid w:val="00E03582"/>
    <w:rsid w:val="00E03C0F"/>
    <w:rsid w:val="00E03CBD"/>
    <w:rsid w:val="00E04556"/>
    <w:rsid w:val="00E04B5C"/>
    <w:rsid w:val="00E060DE"/>
    <w:rsid w:val="00E077EF"/>
    <w:rsid w:val="00E102A8"/>
    <w:rsid w:val="00E10EEC"/>
    <w:rsid w:val="00E114F6"/>
    <w:rsid w:val="00E11537"/>
    <w:rsid w:val="00E11B70"/>
    <w:rsid w:val="00E12727"/>
    <w:rsid w:val="00E153C5"/>
    <w:rsid w:val="00E15513"/>
    <w:rsid w:val="00E157A5"/>
    <w:rsid w:val="00E17B1D"/>
    <w:rsid w:val="00E20423"/>
    <w:rsid w:val="00E20D71"/>
    <w:rsid w:val="00E219F1"/>
    <w:rsid w:val="00E2236E"/>
    <w:rsid w:val="00E22E63"/>
    <w:rsid w:val="00E22F33"/>
    <w:rsid w:val="00E262E7"/>
    <w:rsid w:val="00E272B6"/>
    <w:rsid w:val="00E27335"/>
    <w:rsid w:val="00E2764D"/>
    <w:rsid w:val="00E3013C"/>
    <w:rsid w:val="00E33501"/>
    <w:rsid w:val="00E3442F"/>
    <w:rsid w:val="00E34599"/>
    <w:rsid w:val="00E353CB"/>
    <w:rsid w:val="00E3584F"/>
    <w:rsid w:val="00E36F5D"/>
    <w:rsid w:val="00E3732F"/>
    <w:rsid w:val="00E403DE"/>
    <w:rsid w:val="00E43217"/>
    <w:rsid w:val="00E43CCB"/>
    <w:rsid w:val="00E45478"/>
    <w:rsid w:val="00E45D68"/>
    <w:rsid w:val="00E468FE"/>
    <w:rsid w:val="00E47AD4"/>
    <w:rsid w:val="00E512D6"/>
    <w:rsid w:val="00E51F93"/>
    <w:rsid w:val="00E526D1"/>
    <w:rsid w:val="00E54A0D"/>
    <w:rsid w:val="00E57C4C"/>
    <w:rsid w:val="00E602F9"/>
    <w:rsid w:val="00E6110E"/>
    <w:rsid w:val="00E61885"/>
    <w:rsid w:val="00E621D8"/>
    <w:rsid w:val="00E62273"/>
    <w:rsid w:val="00E63DFF"/>
    <w:rsid w:val="00E64665"/>
    <w:rsid w:val="00E65D86"/>
    <w:rsid w:val="00E666B3"/>
    <w:rsid w:val="00E673DB"/>
    <w:rsid w:val="00E70182"/>
    <w:rsid w:val="00E710B6"/>
    <w:rsid w:val="00E727C6"/>
    <w:rsid w:val="00E73BAA"/>
    <w:rsid w:val="00E775F7"/>
    <w:rsid w:val="00E81A3F"/>
    <w:rsid w:val="00E83502"/>
    <w:rsid w:val="00E83C13"/>
    <w:rsid w:val="00E85436"/>
    <w:rsid w:val="00E861F9"/>
    <w:rsid w:val="00E864D8"/>
    <w:rsid w:val="00E866AE"/>
    <w:rsid w:val="00E86C14"/>
    <w:rsid w:val="00E931DE"/>
    <w:rsid w:val="00E93491"/>
    <w:rsid w:val="00E947AA"/>
    <w:rsid w:val="00E94AD6"/>
    <w:rsid w:val="00E94E8A"/>
    <w:rsid w:val="00E9573C"/>
    <w:rsid w:val="00E9706B"/>
    <w:rsid w:val="00EA02C1"/>
    <w:rsid w:val="00EA3797"/>
    <w:rsid w:val="00EA4AF7"/>
    <w:rsid w:val="00EA7383"/>
    <w:rsid w:val="00EB2094"/>
    <w:rsid w:val="00EB45CD"/>
    <w:rsid w:val="00EB461F"/>
    <w:rsid w:val="00EB4A1F"/>
    <w:rsid w:val="00EB6E23"/>
    <w:rsid w:val="00EB7349"/>
    <w:rsid w:val="00EC0E9E"/>
    <w:rsid w:val="00EC1140"/>
    <w:rsid w:val="00EC1DAA"/>
    <w:rsid w:val="00EC492C"/>
    <w:rsid w:val="00EC4DF4"/>
    <w:rsid w:val="00EC5B41"/>
    <w:rsid w:val="00EC6A22"/>
    <w:rsid w:val="00EC6F82"/>
    <w:rsid w:val="00ED0008"/>
    <w:rsid w:val="00ED0AA2"/>
    <w:rsid w:val="00ED1375"/>
    <w:rsid w:val="00ED20B1"/>
    <w:rsid w:val="00ED2B72"/>
    <w:rsid w:val="00ED3987"/>
    <w:rsid w:val="00ED4175"/>
    <w:rsid w:val="00ED45D8"/>
    <w:rsid w:val="00ED53E4"/>
    <w:rsid w:val="00ED5824"/>
    <w:rsid w:val="00ED588B"/>
    <w:rsid w:val="00ED683F"/>
    <w:rsid w:val="00EE1921"/>
    <w:rsid w:val="00EE21E5"/>
    <w:rsid w:val="00EE3325"/>
    <w:rsid w:val="00EE438A"/>
    <w:rsid w:val="00EE6294"/>
    <w:rsid w:val="00EE7078"/>
    <w:rsid w:val="00EE794C"/>
    <w:rsid w:val="00EE7BA8"/>
    <w:rsid w:val="00EE7D1F"/>
    <w:rsid w:val="00EF0BFF"/>
    <w:rsid w:val="00EF2502"/>
    <w:rsid w:val="00EF3A85"/>
    <w:rsid w:val="00EF497F"/>
    <w:rsid w:val="00EF4CA0"/>
    <w:rsid w:val="00EF4F0E"/>
    <w:rsid w:val="00EF6FE4"/>
    <w:rsid w:val="00F01481"/>
    <w:rsid w:val="00F055E0"/>
    <w:rsid w:val="00F05824"/>
    <w:rsid w:val="00F059BD"/>
    <w:rsid w:val="00F05E03"/>
    <w:rsid w:val="00F07F53"/>
    <w:rsid w:val="00F10B6B"/>
    <w:rsid w:val="00F112AE"/>
    <w:rsid w:val="00F12933"/>
    <w:rsid w:val="00F146FF"/>
    <w:rsid w:val="00F1522F"/>
    <w:rsid w:val="00F156E4"/>
    <w:rsid w:val="00F15A5A"/>
    <w:rsid w:val="00F15D68"/>
    <w:rsid w:val="00F178DD"/>
    <w:rsid w:val="00F17B9E"/>
    <w:rsid w:val="00F2165F"/>
    <w:rsid w:val="00F21C43"/>
    <w:rsid w:val="00F2253D"/>
    <w:rsid w:val="00F229EA"/>
    <w:rsid w:val="00F23EE1"/>
    <w:rsid w:val="00F244B8"/>
    <w:rsid w:val="00F246F5"/>
    <w:rsid w:val="00F24A24"/>
    <w:rsid w:val="00F25E93"/>
    <w:rsid w:val="00F262BB"/>
    <w:rsid w:val="00F2782C"/>
    <w:rsid w:val="00F31982"/>
    <w:rsid w:val="00F32067"/>
    <w:rsid w:val="00F34523"/>
    <w:rsid w:val="00F35887"/>
    <w:rsid w:val="00F35C79"/>
    <w:rsid w:val="00F361CD"/>
    <w:rsid w:val="00F36450"/>
    <w:rsid w:val="00F379EA"/>
    <w:rsid w:val="00F37FBC"/>
    <w:rsid w:val="00F405C1"/>
    <w:rsid w:val="00F41126"/>
    <w:rsid w:val="00F4212C"/>
    <w:rsid w:val="00F426F7"/>
    <w:rsid w:val="00F42730"/>
    <w:rsid w:val="00F42810"/>
    <w:rsid w:val="00F438EF"/>
    <w:rsid w:val="00F47DC5"/>
    <w:rsid w:val="00F532DD"/>
    <w:rsid w:val="00F5333A"/>
    <w:rsid w:val="00F54468"/>
    <w:rsid w:val="00F549AA"/>
    <w:rsid w:val="00F550AA"/>
    <w:rsid w:val="00F5622C"/>
    <w:rsid w:val="00F57271"/>
    <w:rsid w:val="00F5728F"/>
    <w:rsid w:val="00F57E4D"/>
    <w:rsid w:val="00F6010A"/>
    <w:rsid w:val="00F6043B"/>
    <w:rsid w:val="00F60964"/>
    <w:rsid w:val="00F6248F"/>
    <w:rsid w:val="00F624B4"/>
    <w:rsid w:val="00F63C7F"/>
    <w:rsid w:val="00F63F03"/>
    <w:rsid w:val="00F64FDA"/>
    <w:rsid w:val="00F679B5"/>
    <w:rsid w:val="00F67D21"/>
    <w:rsid w:val="00F70554"/>
    <w:rsid w:val="00F70D2B"/>
    <w:rsid w:val="00F71AE4"/>
    <w:rsid w:val="00F7274B"/>
    <w:rsid w:val="00F73D01"/>
    <w:rsid w:val="00F75E24"/>
    <w:rsid w:val="00F77445"/>
    <w:rsid w:val="00F818A5"/>
    <w:rsid w:val="00F83264"/>
    <w:rsid w:val="00F8586A"/>
    <w:rsid w:val="00F87C00"/>
    <w:rsid w:val="00F92809"/>
    <w:rsid w:val="00F94728"/>
    <w:rsid w:val="00F95171"/>
    <w:rsid w:val="00F95B00"/>
    <w:rsid w:val="00F96B79"/>
    <w:rsid w:val="00F96F47"/>
    <w:rsid w:val="00F971E5"/>
    <w:rsid w:val="00FA09E9"/>
    <w:rsid w:val="00FA257B"/>
    <w:rsid w:val="00FA29F4"/>
    <w:rsid w:val="00FA4879"/>
    <w:rsid w:val="00FB160F"/>
    <w:rsid w:val="00FB60B2"/>
    <w:rsid w:val="00FB7A3C"/>
    <w:rsid w:val="00FB7DFC"/>
    <w:rsid w:val="00FC08CB"/>
    <w:rsid w:val="00FC1225"/>
    <w:rsid w:val="00FC15DE"/>
    <w:rsid w:val="00FC1C0D"/>
    <w:rsid w:val="00FC1F9C"/>
    <w:rsid w:val="00FC4091"/>
    <w:rsid w:val="00FC4323"/>
    <w:rsid w:val="00FC44AA"/>
    <w:rsid w:val="00FC4FB4"/>
    <w:rsid w:val="00FC5B93"/>
    <w:rsid w:val="00FC6FC8"/>
    <w:rsid w:val="00FD0102"/>
    <w:rsid w:val="00FD0361"/>
    <w:rsid w:val="00FD05E8"/>
    <w:rsid w:val="00FD2499"/>
    <w:rsid w:val="00FD340D"/>
    <w:rsid w:val="00FD36BD"/>
    <w:rsid w:val="00FD3923"/>
    <w:rsid w:val="00FD5471"/>
    <w:rsid w:val="00FD7485"/>
    <w:rsid w:val="00FE0115"/>
    <w:rsid w:val="00FE0F61"/>
    <w:rsid w:val="00FE24CE"/>
    <w:rsid w:val="00FE276C"/>
    <w:rsid w:val="00FE381C"/>
    <w:rsid w:val="00FE4137"/>
    <w:rsid w:val="00FE4559"/>
    <w:rsid w:val="00FE6CD6"/>
    <w:rsid w:val="00FF0136"/>
    <w:rsid w:val="00FF0882"/>
    <w:rsid w:val="00FF4F16"/>
    <w:rsid w:val="1EE83B61"/>
    <w:rsid w:val="26427764"/>
    <w:rsid w:val="275C6CF9"/>
    <w:rsid w:val="2E39114D"/>
    <w:rsid w:val="44482CDB"/>
    <w:rsid w:val="456A1A88"/>
    <w:rsid w:val="54FA11A1"/>
    <w:rsid w:val="64097EDD"/>
    <w:rsid w:val="799244C7"/>
    <w:rsid w:val="7B28134D"/>
    <w:rsid w:val="7BAA278A"/>
    <w:rsid w:val="7E7671B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ocked="1"/>
    <w:lsdException w:qFormat="1" w:unhideWhenUsed="0" w:uiPriority="99" w:semiHidden="0" w:name="heading 2" w:locked="1"/>
    <w:lsdException w:qFormat="1" w:unhideWhenUsed="0" w:uiPriority="99" w:semiHidden="0" w:name="heading 3" w:locked="1"/>
    <w:lsdException w:qFormat="1" w:uiPriority="9" w:semiHidden="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9" w:semiHidden="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99"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qFormat="1" w:unhideWhenUsed="0" w:uiPriority="99" w:semiHidden="0" w:name="Normal Indent"/>
    <w:lsdException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qFormat="1" w:unhideWhenUsed="0" w:uiPriority="99"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qFormat="1" w:unhideWhenUsed="0" w:uiPriority="99" w:semiHidden="0" w:name="Salutation"/>
    <w:lsdException w:qFormat="1" w:unhideWhenUsed="0" w:uiPriority="0" w:semiHidden="0" w:name="Date"/>
    <w:lsdException w:uiPriority="99" w:name="Body Text First Indent"/>
    <w:lsdException w:uiPriority="99" w:name="Body Text First Indent 2"/>
    <w:lsdException w:qFormat="1" w:unhideWhenUsed="0" w:uiPriority="99" w:semiHidden="0" w:name="Note Heading"/>
    <w:lsdException w:qFormat="1" w:unhideWhenUsed="0" w:uiPriority="99" w:semiHidden="0" w:name="Body Text 2"/>
    <w:lsdException w:uiPriority="99" w:name="Body Text 3"/>
    <w:lsdException w:qFormat="1" w:unhideWhenUsed="0" w:uiPriority="99" w:semiHidden="0" w:name="Body Text Indent 2"/>
    <w:lsdException w:qFormat="1" w:unhideWhenUsed="0" w:uiPriority="99" w:semiHidden="0" w:name="Body Text Indent 3"/>
    <w:lsdException w:uiPriority="99" w:name="Block Text"/>
    <w:lsdException w:qFormat="1" w:uiPriority="99" w:semiHidden="0" w:name="Hyperlink"/>
    <w:lsdException w:uiPriority="99" w:name="FollowedHyperlink"/>
    <w:lsdException w:qFormat="1" w:unhideWhenUsed="0" w:uiPriority="99" w:semiHidden="0" w:name="Strong"/>
    <w:lsdException w:qFormat="1" w:unhideWhenUsed="0" w:uiPriority="0" w:semiHidden="0" w:name="Emphasis" w:locked="1"/>
    <w:lsdException w:qFormat="1" w:unhideWhenUsed="0"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link w:val="37"/>
    <w:qFormat/>
    <w:locked/>
    <w:uiPriority w:val="99"/>
    <w:pPr>
      <w:keepNext/>
      <w:numPr>
        <w:ilvl w:val="0"/>
        <w:numId w:val="1"/>
      </w:numPr>
      <w:spacing w:line="360" w:lineRule="auto"/>
      <w:jc w:val="center"/>
      <w:outlineLvl w:val="0"/>
    </w:pPr>
    <w:rPr>
      <w:rFonts w:ascii="宋体" w:cs="宋体"/>
      <w:sz w:val="18"/>
      <w:szCs w:val="18"/>
    </w:rPr>
  </w:style>
  <w:style w:type="paragraph" w:styleId="3">
    <w:name w:val="heading 2"/>
    <w:basedOn w:val="1"/>
    <w:next w:val="1"/>
    <w:link w:val="38"/>
    <w:qFormat/>
    <w:locked/>
    <w:uiPriority w:val="99"/>
    <w:pPr>
      <w:keepNext/>
      <w:keepLines/>
      <w:spacing w:before="260" w:after="260" w:line="416" w:lineRule="auto"/>
      <w:outlineLvl w:val="1"/>
    </w:pPr>
    <w:rPr>
      <w:rFonts w:ascii="Arial" w:hAnsi="Arial" w:eastAsia="黑体" w:cs="Arial"/>
      <w:b/>
      <w:bCs/>
      <w:sz w:val="32"/>
      <w:szCs w:val="32"/>
    </w:rPr>
  </w:style>
  <w:style w:type="paragraph" w:styleId="4">
    <w:name w:val="heading 3"/>
    <w:basedOn w:val="1"/>
    <w:next w:val="1"/>
    <w:link w:val="36"/>
    <w:qFormat/>
    <w:locked/>
    <w:uiPriority w:val="99"/>
    <w:pPr>
      <w:keepNext/>
      <w:jc w:val="left"/>
      <w:outlineLvl w:val="2"/>
    </w:pPr>
    <w:rPr>
      <w:b/>
      <w:spacing w:val="30"/>
      <w:sz w:val="52"/>
      <w:szCs w:val="24"/>
      <w:lang w:eastAsia="zh-TW"/>
    </w:rPr>
  </w:style>
  <w:style w:type="paragraph" w:styleId="5">
    <w:name w:val="heading 4"/>
    <w:basedOn w:val="1"/>
    <w:next w:val="1"/>
    <w:link w:val="39"/>
    <w:unhideWhenUsed/>
    <w:qFormat/>
    <w:locked/>
    <w:uiPriority w:val="9"/>
    <w:pPr>
      <w:keepNext/>
      <w:keepLines/>
      <w:spacing w:before="280" w:after="290" w:line="376" w:lineRule="auto"/>
      <w:outlineLvl w:val="3"/>
    </w:pPr>
    <w:rPr>
      <w:rFonts w:ascii="Cambria" w:hAnsi="Cambria"/>
      <w:b/>
      <w:bCs/>
      <w:sz w:val="28"/>
      <w:szCs w:val="28"/>
    </w:rPr>
  </w:style>
  <w:style w:type="paragraph" w:styleId="6">
    <w:name w:val="heading 9"/>
    <w:basedOn w:val="1"/>
    <w:next w:val="1"/>
    <w:link w:val="40"/>
    <w:unhideWhenUsed/>
    <w:qFormat/>
    <w:locked/>
    <w:uiPriority w:val="9"/>
    <w:pPr>
      <w:keepNext/>
      <w:keepLines/>
      <w:spacing w:before="240" w:after="64" w:line="320" w:lineRule="auto"/>
      <w:outlineLvl w:val="8"/>
    </w:pPr>
    <w:rPr>
      <w:rFonts w:ascii="Cambria" w:hAnsi="Cambria"/>
    </w:rPr>
  </w:style>
  <w:style w:type="character" w:default="1" w:styleId="26">
    <w:name w:val="Default Paragraph Font"/>
    <w:unhideWhenUsed/>
    <w:uiPriority w:val="1"/>
  </w:style>
  <w:style w:type="table" w:default="1" w:styleId="31">
    <w:name w:val="Normal Table"/>
    <w:unhideWhenUsed/>
    <w:uiPriority w:val="99"/>
    <w:tblPr>
      <w:tblLayout w:type="fixed"/>
      <w:tblCellMar>
        <w:top w:w="0" w:type="dxa"/>
        <w:left w:w="108" w:type="dxa"/>
        <w:bottom w:w="0" w:type="dxa"/>
        <w:right w:w="108" w:type="dxa"/>
      </w:tblCellMar>
    </w:tblPr>
  </w:style>
  <w:style w:type="paragraph" w:styleId="7">
    <w:name w:val="annotation subject"/>
    <w:basedOn w:val="8"/>
    <w:next w:val="8"/>
    <w:link w:val="42"/>
    <w:semiHidden/>
    <w:qFormat/>
    <w:uiPriority w:val="99"/>
    <w:rPr>
      <w:b/>
      <w:bCs/>
    </w:rPr>
  </w:style>
  <w:style w:type="paragraph" w:styleId="8">
    <w:name w:val="annotation text"/>
    <w:basedOn w:val="1"/>
    <w:link w:val="41"/>
    <w:qFormat/>
    <w:uiPriority w:val="99"/>
    <w:pPr>
      <w:jc w:val="left"/>
    </w:pPr>
  </w:style>
  <w:style w:type="paragraph" w:styleId="9">
    <w:name w:val="Note Heading"/>
    <w:basedOn w:val="1"/>
    <w:next w:val="1"/>
    <w:link w:val="58"/>
    <w:qFormat/>
    <w:uiPriority w:val="99"/>
    <w:pPr>
      <w:jc w:val="center"/>
    </w:pPr>
  </w:style>
  <w:style w:type="paragraph" w:styleId="10">
    <w:name w:val="Normal Indent"/>
    <w:basedOn w:val="1"/>
    <w:qFormat/>
    <w:uiPriority w:val="99"/>
    <w:pPr>
      <w:ind w:firstLine="420"/>
    </w:pPr>
  </w:style>
  <w:style w:type="paragraph" w:styleId="11">
    <w:name w:val="Document Map"/>
    <w:basedOn w:val="1"/>
    <w:link w:val="44"/>
    <w:semiHidden/>
    <w:qFormat/>
    <w:uiPriority w:val="99"/>
    <w:pPr>
      <w:shd w:val="clear" w:color="auto" w:fill="000080"/>
    </w:pPr>
  </w:style>
  <w:style w:type="paragraph" w:styleId="12">
    <w:name w:val="Salutation"/>
    <w:basedOn w:val="1"/>
    <w:next w:val="1"/>
    <w:link w:val="60"/>
    <w:qFormat/>
    <w:uiPriority w:val="99"/>
  </w:style>
  <w:style w:type="paragraph" w:styleId="13">
    <w:name w:val="Body Text"/>
    <w:basedOn w:val="1"/>
    <w:link w:val="54"/>
    <w:qFormat/>
    <w:uiPriority w:val="99"/>
    <w:pPr>
      <w:spacing w:after="120"/>
    </w:pPr>
  </w:style>
  <w:style w:type="paragraph" w:styleId="14">
    <w:name w:val="Body Text Indent"/>
    <w:basedOn w:val="1"/>
    <w:link w:val="61"/>
    <w:qFormat/>
    <w:uiPriority w:val="99"/>
    <w:pPr>
      <w:spacing w:after="120"/>
      <w:ind w:left="420" w:leftChars="200"/>
    </w:pPr>
  </w:style>
  <w:style w:type="paragraph" w:styleId="15">
    <w:name w:val="Plain Text"/>
    <w:basedOn w:val="1"/>
    <w:link w:val="45"/>
    <w:qFormat/>
    <w:uiPriority w:val="0"/>
    <w:pPr>
      <w:adjustRightInd w:val="0"/>
      <w:textAlignment w:val="baseline"/>
    </w:pPr>
    <w:rPr>
      <w:rFonts w:ascii="宋体" w:hAnsi="Courier New" w:cs="宋体"/>
    </w:rPr>
  </w:style>
  <w:style w:type="paragraph" w:styleId="16">
    <w:name w:val="Date"/>
    <w:basedOn w:val="1"/>
    <w:next w:val="1"/>
    <w:link w:val="50"/>
    <w:qFormat/>
    <w:uiPriority w:val="0"/>
    <w:rPr>
      <w:rFonts w:ascii="宋体" w:cs="宋体"/>
      <w:sz w:val="24"/>
      <w:szCs w:val="24"/>
    </w:rPr>
  </w:style>
  <w:style w:type="paragraph" w:styleId="17">
    <w:name w:val="Body Text Indent 2"/>
    <w:basedOn w:val="1"/>
    <w:link w:val="49"/>
    <w:qFormat/>
    <w:uiPriority w:val="99"/>
    <w:pPr>
      <w:spacing w:line="360" w:lineRule="auto"/>
      <w:ind w:right="3" w:firstLine="480"/>
    </w:pPr>
    <w:rPr>
      <w:rFonts w:ascii="宋体" w:cs="宋体"/>
      <w:color w:val="FF0000"/>
    </w:rPr>
  </w:style>
  <w:style w:type="paragraph" w:styleId="18">
    <w:name w:val="Balloon Text"/>
    <w:basedOn w:val="1"/>
    <w:link w:val="35"/>
    <w:unhideWhenUsed/>
    <w:qFormat/>
    <w:uiPriority w:val="99"/>
    <w:rPr>
      <w:sz w:val="18"/>
      <w:szCs w:val="18"/>
    </w:rPr>
  </w:style>
  <w:style w:type="paragraph" w:styleId="19">
    <w:name w:val="footer"/>
    <w:basedOn w:val="1"/>
    <w:link w:val="34"/>
    <w:qFormat/>
    <w:uiPriority w:val="99"/>
    <w:pPr>
      <w:tabs>
        <w:tab w:val="center" w:pos="4153"/>
        <w:tab w:val="right" w:pos="8306"/>
      </w:tabs>
      <w:snapToGrid w:val="0"/>
      <w:jc w:val="left"/>
    </w:pPr>
    <w:rPr>
      <w:rFonts w:ascii="Calibri" w:hAnsi="Calibri"/>
      <w:sz w:val="18"/>
      <w:szCs w:val="18"/>
    </w:rPr>
  </w:style>
  <w:style w:type="paragraph" w:styleId="20">
    <w:name w:val="header"/>
    <w:basedOn w:val="1"/>
    <w:link w:val="33"/>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21">
    <w:name w:val="toc 1"/>
    <w:basedOn w:val="1"/>
    <w:next w:val="1"/>
    <w:qFormat/>
    <w:locked/>
    <w:uiPriority w:val="99"/>
    <w:pPr>
      <w:pBdr>
        <w:top w:val="single" w:color="auto" w:sz="4" w:space="1"/>
        <w:left w:val="single" w:color="auto" w:sz="4" w:space="25"/>
        <w:bottom w:val="single" w:color="auto" w:sz="4" w:space="1"/>
        <w:right w:val="single" w:color="auto" w:sz="4" w:space="4"/>
      </w:pBdr>
      <w:tabs>
        <w:tab w:val="left" w:pos="2730"/>
      </w:tabs>
      <w:adjustRightInd w:val="0"/>
      <w:spacing w:line="360" w:lineRule="auto"/>
      <w:textAlignment w:val="baseline"/>
    </w:pPr>
    <w:rPr>
      <w:rFonts w:ascii="宋体" w:eastAsia="隶书" w:cs="宋体"/>
      <w:lang w:val="eu-ES"/>
    </w:rPr>
  </w:style>
  <w:style w:type="paragraph" w:styleId="22">
    <w:name w:val="Body Text Indent 3"/>
    <w:basedOn w:val="1"/>
    <w:link w:val="47"/>
    <w:qFormat/>
    <w:uiPriority w:val="99"/>
    <w:pPr>
      <w:pBdr>
        <w:top w:val="single" w:color="auto" w:sz="4" w:space="1"/>
        <w:left w:val="single" w:color="auto" w:sz="4" w:space="4"/>
        <w:bottom w:val="single" w:color="auto" w:sz="4" w:space="1"/>
        <w:right w:val="single" w:color="auto" w:sz="4" w:space="4"/>
      </w:pBdr>
      <w:spacing w:after="80" w:line="360" w:lineRule="auto"/>
      <w:ind w:firstLine="420"/>
    </w:pPr>
    <w:rPr>
      <w:rFonts w:eastAsia="隶书"/>
    </w:rPr>
  </w:style>
  <w:style w:type="paragraph" w:styleId="23">
    <w:name w:val="Body Text 2"/>
    <w:basedOn w:val="1"/>
    <w:link w:val="46"/>
    <w:qFormat/>
    <w:uiPriority w:val="99"/>
    <w:pPr>
      <w:spacing w:after="80" w:line="312" w:lineRule="auto"/>
      <w:ind w:firstLine="540"/>
    </w:pPr>
    <w:rPr>
      <w:rFonts w:ascii="宋体" w:cs="宋体"/>
    </w:rPr>
  </w:style>
  <w:style w:type="paragraph" w:styleId="24">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25">
    <w:name w:val="Title"/>
    <w:basedOn w:val="1"/>
    <w:next w:val="1"/>
    <w:link w:val="78"/>
    <w:qFormat/>
    <w:locked/>
    <w:uiPriority w:val="0"/>
    <w:pPr>
      <w:spacing w:before="240" w:after="60"/>
      <w:jc w:val="center"/>
      <w:outlineLvl w:val="0"/>
    </w:pPr>
    <w:rPr>
      <w:rFonts w:asciiTheme="majorHAnsi" w:hAnsiTheme="majorHAnsi" w:cstheme="majorBidi"/>
      <w:b/>
      <w:bCs/>
      <w:sz w:val="32"/>
      <w:szCs w:val="32"/>
    </w:rPr>
  </w:style>
  <w:style w:type="character" w:styleId="27">
    <w:name w:val="Strong"/>
    <w:basedOn w:val="26"/>
    <w:qFormat/>
    <w:uiPriority w:val="99"/>
    <w:rPr>
      <w:rFonts w:cs="Times New Roman"/>
      <w:b/>
      <w:bCs/>
    </w:rPr>
  </w:style>
  <w:style w:type="character" w:styleId="28">
    <w:name w:val="page number"/>
    <w:basedOn w:val="26"/>
    <w:qFormat/>
    <w:uiPriority w:val="99"/>
    <w:rPr>
      <w:rFonts w:cs="Times New Roman"/>
    </w:rPr>
  </w:style>
  <w:style w:type="character" w:styleId="29">
    <w:name w:val="Hyperlink"/>
    <w:basedOn w:val="26"/>
    <w:unhideWhenUsed/>
    <w:qFormat/>
    <w:uiPriority w:val="99"/>
    <w:rPr>
      <w:color w:val="0000FF"/>
      <w:u w:val="single"/>
    </w:rPr>
  </w:style>
  <w:style w:type="character" w:styleId="30">
    <w:name w:val="annotation reference"/>
    <w:basedOn w:val="26"/>
    <w:semiHidden/>
    <w:qFormat/>
    <w:uiPriority w:val="99"/>
    <w:rPr>
      <w:rFonts w:cs="Times New Roman"/>
      <w:sz w:val="21"/>
      <w:szCs w:val="21"/>
    </w:rPr>
  </w:style>
  <w:style w:type="table" w:styleId="32">
    <w:name w:val="Table Grid"/>
    <w:basedOn w:val="31"/>
    <w:qFormat/>
    <w:locked/>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33">
    <w:name w:val="页眉 Char"/>
    <w:basedOn w:val="26"/>
    <w:link w:val="20"/>
    <w:qFormat/>
    <w:locked/>
    <w:uiPriority w:val="99"/>
    <w:rPr>
      <w:rFonts w:cs="Times New Roman"/>
      <w:sz w:val="18"/>
      <w:szCs w:val="18"/>
    </w:rPr>
  </w:style>
  <w:style w:type="character" w:customStyle="1" w:styleId="34">
    <w:name w:val="页脚 Char"/>
    <w:basedOn w:val="26"/>
    <w:link w:val="19"/>
    <w:qFormat/>
    <w:locked/>
    <w:uiPriority w:val="99"/>
    <w:rPr>
      <w:rFonts w:cs="Times New Roman"/>
      <w:sz w:val="18"/>
      <w:szCs w:val="18"/>
    </w:rPr>
  </w:style>
  <w:style w:type="character" w:customStyle="1" w:styleId="35">
    <w:name w:val="批注框文本 Char"/>
    <w:basedOn w:val="26"/>
    <w:link w:val="18"/>
    <w:semiHidden/>
    <w:qFormat/>
    <w:uiPriority w:val="99"/>
    <w:rPr>
      <w:rFonts w:ascii="Times New Roman" w:hAnsi="Times New Roman"/>
      <w:sz w:val="18"/>
      <w:szCs w:val="18"/>
    </w:rPr>
  </w:style>
  <w:style w:type="character" w:customStyle="1" w:styleId="36">
    <w:name w:val="标题 3 Char"/>
    <w:basedOn w:val="26"/>
    <w:link w:val="4"/>
    <w:qFormat/>
    <w:uiPriority w:val="99"/>
    <w:rPr>
      <w:rFonts w:ascii="Times New Roman" w:hAnsi="Times New Roman"/>
      <w:b/>
      <w:spacing w:val="30"/>
      <w:sz w:val="52"/>
      <w:szCs w:val="24"/>
      <w:lang w:eastAsia="zh-TW"/>
    </w:rPr>
  </w:style>
  <w:style w:type="character" w:customStyle="1" w:styleId="37">
    <w:name w:val="标题 1 Char"/>
    <w:basedOn w:val="26"/>
    <w:link w:val="2"/>
    <w:qFormat/>
    <w:uiPriority w:val="99"/>
    <w:rPr>
      <w:rFonts w:ascii="宋体" w:hAnsi="Times New Roman" w:cs="宋体"/>
      <w:kern w:val="2"/>
      <w:sz w:val="18"/>
      <w:szCs w:val="18"/>
    </w:rPr>
  </w:style>
  <w:style w:type="character" w:customStyle="1" w:styleId="38">
    <w:name w:val="标题 2 Char"/>
    <w:basedOn w:val="26"/>
    <w:link w:val="3"/>
    <w:qFormat/>
    <w:uiPriority w:val="99"/>
    <w:rPr>
      <w:rFonts w:ascii="Arial" w:hAnsi="Arial" w:eastAsia="黑体" w:cs="Arial"/>
      <w:b/>
      <w:bCs/>
      <w:kern w:val="2"/>
      <w:sz w:val="32"/>
      <w:szCs w:val="32"/>
    </w:rPr>
  </w:style>
  <w:style w:type="character" w:customStyle="1" w:styleId="39">
    <w:name w:val="标题 4 Char"/>
    <w:basedOn w:val="26"/>
    <w:link w:val="5"/>
    <w:semiHidden/>
    <w:qFormat/>
    <w:uiPriority w:val="9"/>
    <w:rPr>
      <w:rFonts w:ascii="Cambria" w:hAnsi="Cambria"/>
      <w:b/>
      <w:bCs/>
      <w:kern w:val="2"/>
      <w:sz w:val="28"/>
      <w:szCs w:val="28"/>
    </w:rPr>
  </w:style>
  <w:style w:type="character" w:customStyle="1" w:styleId="40">
    <w:name w:val="标题 9 Char"/>
    <w:basedOn w:val="26"/>
    <w:link w:val="6"/>
    <w:semiHidden/>
    <w:qFormat/>
    <w:uiPriority w:val="9"/>
    <w:rPr>
      <w:rFonts w:ascii="Cambria" w:hAnsi="Cambria"/>
      <w:kern w:val="2"/>
      <w:sz w:val="21"/>
      <w:szCs w:val="21"/>
    </w:rPr>
  </w:style>
  <w:style w:type="character" w:customStyle="1" w:styleId="41">
    <w:name w:val="批注文字 Char"/>
    <w:basedOn w:val="26"/>
    <w:link w:val="8"/>
    <w:qFormat/>
    <w:uiPriority w:val="99"/>
    <w:rPr>
      <w:rFonts w:ascii="Times New Roman" w:hAnsi="Times New Roman"/>
      <w:kern w:val="2"/>
      <w:sz w:val="21"/>
      <w:szCs w:val="21"/>
    </w:rPr>
  </w:style>
  <w:style w:type="character" w:customStyle="1" w:styleId="42">
    <w:name w:val="批注主题 Char"/>
    <w:basedOn w:val="41"/>
    <w:link w:val="7"/>
    <w:semiHidden/>
    <w:qFormat/>
    <w:uiPriority w:val="99"/>
    <w:rPr>
      <w:rFonts w:ascii="Times New Roman" w:hAnsi="Times New Roman"/>
      <w:b/>
      <w:bCs/>
      <w:kern w:val="2"/>
      <w:sz w:val="21"/>
      <w:szCs w:val="21"/>
    </w:rPr>
  </w:style>
  <w:style w:type="paragraph" w:customStyle="1" w:styleId="43">
    <w:name w:val="Char"/>
    <w:basedOn w:val="11"/>
    <w:qFormat/>
    <w:uiPriority w:val="99"/>
    <w:rPr>
      <w:rFonts w:ascii="Tahoma" w:hAnsi="Tahoma" w:cs="Tahoma"/>
      <w:sz w:val="24"/>
      <w:szCs w:val="24"/>
    </w:rPr>
  </w:style>
  <w:style w:type="character" w:customStyle="1" w:styleId="44">
    <w:name w:val="文档结构图 Char"/>
    <w:basedOn w:val="26"/>
    <w:link w:val="11"/>
    <w:semiHidden/>
    <w:qFormat/>
    <w:uiPriority w:val="99"/>
    <w:rPr>
      <w:rFonts w:ascii="Times New Roman" w:hAnsi="Times New Roman"/>
      <w:kern w:val="2"/>
      <w:sz w:val="21"/>
      <w:szCs w:val="21"/>
      <w:shd w:val="clear" w:color="auto" w:fill="000080"/>
    </w:rPr>
  </w:style>
  <w:style w:type="character" w:customStyle="1" w:styleId="45">
    <w:name w:val="纯文本 Char"/>
    <w:basedOn w:val="26"/>
    <w:link w:val="15"/>
    <w:qFormat/>
    <w:uiPriority w:val="99"/>
    <w:rPr>
      <w:rFonts w:ascii="宋体" w:hAnsi="Courier New" w:cs="宋体"/>
      <w:kern w:val="2"/>
      <w:sz w:val="21"/>
      <w:szCs w:val="21"/>
    </w:rPr>
  </w:style>
  <w:style w:type="character" w:customStyle="1" w:styleId="46">
    <w:name w:val="正文文本 2 Char"/>
    <w:basedOn w:val="26"/>
    <w:link w:val="23"/>
    <w:qFormat/>
    <w:uiPriority w:val="99"/>
    <w:rPr>
      <w:rFonts w:ascii="宋体" w:hAnsi="Times New Roman" w:cs="宋体"/>
      <w:kern w:val="2"/>
      <w:sz w:val="21"/>
      <w:szCs w:val="21"/>
    </w:rPr>
  </w:style>
  <w:style w:type="character" w:customStyle="1" w:styleId="47">
    <w:name w:val="正文文本缩进 3 Char"/>
    <w:basedOn w:val="26"/>
    <w:link w:val="22"/>
    <w:qFormat/>
    <w:uiPriority w:val="99"/>
    <w:rPr>
      <w:rFonts w:ascii="Times New Roman" w:hAnsi="Times New Roman" w:eastAsia="隶书"/>
      <w:kern w:val="2"/>
      <w:sz w:val="21"/>
      <w:szCs w:val="21"/>
    </w:rPr>
  </w:style>
  <w:style w:type="paragraph" w:customStyle="1" w:styleId="48">
    <w:name w:val="2"/>
    <w:basedOn w:val="1"/>
    <w:next w:val="15"/>
    <w:qFormat/>
    <w:uiPriority w:val="0"/>
    <w:pPr>
      <w:adjustRightInd w:val="0"/>
      <w:spacing w:after="120" w:line="300" w:lineRule="auto"/>
      <w:jc w:val="left"/>
      <w:textAlignment w:val="baseline"/>
    </w:pPr>
    <w:rPr>
      <w:rFonts w:ascii="Courier New" w:hAnsi="Courier New" w:cs="Courier New"/>
      <w:kern w:val="0"/>
    </w:rPr>
  </w:style>
  <w:style w:type="character" w:customStyle="1" w:styleId="49">
    <w:name w:val="正文文本缩进 2 Char"/>
    <w:basedOn w:val="26"/>
    <w:link w:val="17"/>
    <w:qFormat/>
    <w:uiPriority w:val="99"/>
    <w:rPr>
      <w:rFonts w:ascii="宋体" w:hAnsi="Times New Roman" w:cs="宋体"/>
      <w:color w:val="FF0000"/>
      <w:kern w:val="2"/>
      <w:sz w:val="21"/>
      <w:szCs w:val="21"/>
    </w:rPr>
  </w:style>
  <w:style w:type="character" w:customStyle="1" w:styleId="50">
    <w:name w:val="日期 Char"/>
    <w:basedOn w:val="26"/>
    <w:link w:val="16"/>
    <w:qFormat/>
    <w:uiPriority w:val="0"/>
    <w:rPr>
      <w:rFonts w:ascii="宋体" w:hAnsi="Times New Roman" w:cs="宋体"/>
      <w:kern w:val="2"/>
      <w:sz w:val="24"/>
      <w:szCs w:val="24"/>
    </w:rPr>
  </w:style>
  <w:style w:type="paragraph" w:customStyle="1" w:styleId="51">
    <w:name w:val="1"/>
    <w:basedOn w:val="1"/>
    <w:next w:val="15"/>
    <w:qFormat/>
    <w:uiPriority w:val="99"/>
    <w:pPr>
      <w:adjustRightInd w:val="0"/>
      <w:spacing w:after="120" w:line="300" w:lineRule="auto"/>
      <w:jc w:val="left"/>
      <w:textAlignment w:val="baseline"/>
    </w:pPr>
    <w:rPr>
      <w:rFonts w:ascii="Courier New" w:hAnsi="Courier New" w:cs="Courier New"/>
      <w:kern w:val="0"/>
    </w:rPr>
  </w:style>
  <w:style w:type="character" w:customStyle="1" w:styleId="52">
    <w:name w:val="Char Char4"/>
    <w:basedOn w:val="26"/>
    <w:qFormat/>
    <w:uiPriority w:val="99"/>
    <w:rPr>
      <w:rFonts w:ascii="Courier New" w:hAnsi="Courier New" w:eastAsia="宋体" w:cs="Courier New"/>
      <w:sz w:val="21"/>
      <w:szCs w:val="21"/>
      <w:lang w:val="en-US" w:eastAsia="zh-CN"/>
    </w:rPr>
  </w:style>
  <w:style w:type="character" w:customStyle="1" w:styleId="53">
    <w:name w:val="f121"/>
    <w:basedOn w:val="26"/>
    <w:qFormat/>
    <w:uiPriority w:val="99"/>
    <w:rPr>
      <w:rFonts w:cs="Times New Roman"/>
      <w:spacing w:val="0"/>
      <w:sz w:val="18"/>
      <w:szCs w:val="18"/>
      <w:u w:val="none"/>
    </w:rPr>
  </w:style>
  <w:style w:type="character" w:customStyle="1" w:styleId="54">
    <w:name w:val="正文文本 Char"/>
    <w:basedOn w:val="26"/>
    <w:link w:val="13"/>
    <w:qFormat/>
    <w:uiPriority w:val="99"/>
    <w:rPr>
      <w:rFonts w:ascii="Times New Roman" w:hAnsi="Times New Roman"/>
      <w:kern w:val="2"/>
      <w:sz w:val="21"/>
      <w:szCs w:val="21"/>
    </w:rPr>
  </w:style>
  <w:style w:type="paragraph" w:customStyle="1" w:styleId="55">
    <w:name w:val="Default"/>
    <w:qFormat/>
    <w:uiPriority w:val="0"/>
    <w:pPr>
      <w:widowControl w:val="0"/>
      <w:autoSpaceDE w:val="0"/>
      <w:autoSpaceDN w:val="0"/>
      <w:adjustRightInd w:val="0"/>
    </w:pPr>
    <w:rPr>
      <w:rFonts w:ascii="华文中宋" w:hAnsi="Times New Roman" w:eastAsia="华文中宋" w:cs="华文中宋"/>
      <w:color w:val="000000"/>
      <w:sz w:val="24"/>
      <w:szCs w:val="24"/>
      <w:lang w:val="en-US" w:eastAsia="zh-CN" w:bidi="ar-SA"/>
    </w:rPr>
  </w:style>
  <w:style w:type="paragraph" w:customStyle="1" w:styleId="56">
    <w:name w:val="CM1"/>
    <w:basedOn w:val="1"/>
    <w:next w:val="1"/>
    <w:qFormat/>
    <w:uiPriority w:val="99"/>
    <w:pPr>
      <w:autoSpaceDE w:val="0"/>
      <w:autoSpaceDN w:val="0"/>
      <w:adjustRightInd w:val="0"/>
      <w:jc w:val="left"/>
    </w:pPr>
    <w:rPr>
      <w:rFonts w:ascii="宋体" w:cs="宋体"/>
      <w:kern w:val="0"/>
      <w:sz w:val="24"/>
      <w:szCs w:val="24"/>
    </w:rPr>
  </w:style>
  <w:style w:type="paragraph" w:customStyle="1" w:styleId="57">
    <w:name w:val="123"/>
    <w:basedOn w:val="1"/>
    <w:qFormat/>
    <w:uiPriority w:val="0"/>
    <w:pPr>
      <w:adjustRightInd w:val="0"/>
      <w:snapToGrid w:val="0"/>
      <w:spacing w:line="460" w:lineRule="atLeast"/>
      <w:ind w:firstLine="200" w:firstLineChars="200"/>
      <w:jc w:val="left"/>
    </w:pPr>
    <w:rPr>
      <w:rFonts w:ascii="仿宋_GB2312" w:hAnsi="宋体" w:eastAsia="仿宋_GB2312" w:cs="仿宋_GB2312"/>
      <w:sz w:val="26"/>
      <w:szCs w:val="26"/>
    </w:rPr>
  </w:style>
  <w:style w:type="character" w:customStyle="1" w:styleId="58">
    <w:name w:val="注释标题 Char"/>
    <w:basedOn w:val="26"/>
    <w:link w:val="9"/>
    <w:qFormat/>
    <w:uiPriority w:val="99"/>
    <w:rPr>
      <w:rFonts w:ascii="Times New Roman" w:hAnsi="Times New Roman"/>
      <w:kern w:val="2"/>
      <w:sz w:val="21"/>
      <w:szCs w:val="21"/>
    </w:rPr>
  </w:style>
  <w:style w:type="paragraph" w:customStyle="1" w:styleId="59">
    <w:name w:val="附注－正文"/>
    <w:basedOn w:val="14"/>
    <w:qFormat/>
    <w:uiPriority w:val="99"/>
  </w:style>
  <w:style w:type="character" w:customStyle="1" w:styleId="60">
    <w:name w:val="称呼 Char"/>
    <w:basedOn w:val="26"/>
    <w:link w:val="12"/>
    <w:qFormat/>
    <w:uiPriority w:val="99"/>
    <w:rPr>
      <w:rFonts w:ascii="Times New Roman" w:hAnsi="Times New Roman"/>
      <w:kern w:val="2"/>
      <w:sz w:val="21"/>
      <w:szCs w:val="21"/>
    </w:rPr>
  </w:style>
  <w:style w:type="character" w:customStyle="1" w:styleId="61">
    <w:name w:val="正文文本缩进 Char"/>
    <w:basedOn w:val="26"/>
    <w:link w:val="14"/>
    <w:qFormat/>
    <w:uiPriority w:val="99"/>
    <w:rPr>
      <w:rFonts w:ascii="Times New Roman" w:hAnsi="Times New Roman"/>
      <w:kern w:val="2"/>
      <w:sz w:val="21"/>
      <w:szCs w:val="21"/>
    </w:rPr>
  </w:style>
  <w:style w:type="paragraph" w:customStyle="1" w:styleId="62">
    <w:name w:val="附注-标题3"/>
    <w:qFormat/>
    <w:uiPriority w:val="99"/>
    <w:pPr>
      <w:tabs>
        <w:tab w:val="left" w:pos="1125"/>
      </w:tabs>
      <w:spacing w:beforeLines="25" w:afterLines="25" w:line="360" w:lineRule="auto"/>
      <w:ind w:left="1125" w:hanging="720"/>
      <w:outlineLvl w:val="1"/>
    </w:pPr>
    <w:rPr>
      <w:rFonts w:ascii="Arial Narrow" w:hAnsi="Arial Narrow" w:eastAsia="宋体" w:cs="Arial Narrow"/>
      <w:b/>
      <w:bCs/>
      <w:kern w:val="2"/>
      <w:sz w:val="21"/>
      <w:szCs w:val="21"/>
      <w:lang w:val="en-US" w:eastAsia="zh-CN" w:bidi="ar-SA"/>
    </w:rPr>
  </w:style>
  <w:style w:type="paragraph" w:customStyle="1" w:styleId="63">
    <w:name w:val="附注－标题二"/>
    <w:basedOn w:val="1"/>
    <w:qFormat/>
    <w:uiPriority w:val="99"/>
    <w:pPr>
      <w:keepNext/>
      <w:numPr>
        <w:ilvl w:val="0"/>
        <w:numId w:val="2"/>
      </w:numPr>
      <w:tabs>
        <w:tab w:val="left" w:pos="504"/>
      </w:tabs>
      <w:adjustRightInd w:val="0"/>
      <w:snapToGrid w:val="0"/>
      <w:spacing w:line="460" w:lineRule="atLeast"/>
      <w:outlineLvl w:val="0"/>
    </w:pPr>
    <w:rPr>
      <w:rFonts w:ascii="黑体" w:hAnsi="Arial Narrow" w:eastAsia="黑体" w:cs="黑体"/>
      <w:kern w:val="0"/>
      <w:sz w:val="24"/>
      <w:szCs w:val="24"/>
    </w:rPr>
  </w:style>
  <w:style w:type="paragraph" w:customStyle="1" w:styleId="64">
    <w:name w:val="报告－收件人"/>
    <w:basedOn w:val="15"/>
    <w:qFormat/>
    <w:uiPriority w:val="99"/>
    <w:pPr>
      <w:adjustRightInd/>
      <w:spacing w:beforeLines="50" w:afterLines="50" w:line="360" w:lineRule="auto"/>
      <w:textAlignment w:val="auto"/>
    </w:pPr>
    <w:rPr>
      <w:rFonts w:ascii="Times New Roman" w:hAnsi="Times New Roman" w:cs="Times New Roman"/>
      <w:b/>
      <w:bCs/>
      <w:sz w:val="28"/>
      <w:szCs w:val="28"/>
      <w:u w:val="single"/>
    </w:rPr>
  </w:style>
  <w:style w:type="paragraph" w:customStyle="1" w:styleId="65">
    <w:name w:val="Char Char Char Char"/>
    <w:basedOn w:val="1"/>
    <w:qFormat/>
    <w:uiPriority w:val="99"/>
    <w:pPr>
      <w:widowControl/>
      <w:autoSpaceDE w:val="0"/>
      <w:autoSpaceDN w:val="0"/>
      <w:adjustRightInd w:val="0"/>
      <w:spacing w:after="160" w:line="240" w:lineRule="exact"/>
      <w:jc w:val="left"/>
    </w:pPr>
  </w:style>
  <w:style w:type="paragraph" w:customStyle="1" w:styleId="66">
    <w:name w:val="Char Char Char Char Char Char1 Char Char Char"/>
    <w:basedOn w:val="1"/>
    <w:qFormat/>
    <w:uiPriority w:val="99"/>
    <w:pPr>
      <w:autoSpaceDE w:val="0"/>
      <w:autoSpaceDN w:val="0"/>
      <w:adjustRightInd w:val="0"/>
      <w:jc w:val="left"/>
      <w:textAlignment w:val="baseline"/>
    </w:pPr>
    <w:rPr>
      <w:rFonts w:eastAsia="方正仿宋简体"/>
      <w:sz w:val="32"/>
      <w:szCs w:val="32"/>
    </w:rPr>
  </w:style>
  <w:style w:type="character" w:customStyle="1" w:styleId="67">
    <w:name w:val="Char Char101"/>
    <w:basedOn w:val="26"/>
    <w:qFormat/>
    <w:uiPriority w:val="99"/>
    <w:rPr>
      <w:rFonts w:eastAsia="宋体" w:cs="Times New Roman"/>
      <w:b/>
      <w:bCs/>
      <w:kern w:val="2"/>
      <w:sz w:val="32"/>
      <w:szCs w:val="32"/>
      <w:lang w:val="en-US" w:eastAsia="zh-CN"/>
    </w:rPr>
  </w:style>
  <w:style w:type="character" w:customStyle="1" w:styleId="68">
    <w:name w:val="Char Char11"/>
    <w:basedOn w:val="26"/>
    <w:qFormat/>
    <w:locked/>
    <w:uiPriority w:val="99"/>
    <w:rPr>
      <w:rFonts w:ascii="宋体" w:hAnsi="Courier New" w:eastAsia="宋体" w:cs="宋体"/>
      <w:kern w:val="2"/>
      <w:sz w:val="21"/>
      <w:szCs w:val="21"/>
      <w:lang w:val="en-US" w:eastAsia="zh-CN"/>
    </w:rPr>
  </w:style>
  <w:style w:type="paragraph" w:customStyle="1" w:styleId="69">
    <w:name w:val="Char Char Char Char Char Char1 Char Char Char1"/>
    <w:basedOn w:val="1"/>
    <w:qFormat/>
    <w:uiPriority w:val="99"/>
    <w:pPr>
      <w:autoSpaceDE w:val="0"/>
      <w:autoSpaceDN w:val="0"/>
      <w:adjustRightInd w:val="0"/>
      <w:jc w:val="left"/>
      <w:textAlignment w:val="baseline"/>
    </w:pPr>
    <w:rPr>
      <w:rFonts w:eastAsia="方正仿宋简体"/>
      <w:sz w:val="32"/>
      <w:szCs w:val="20"/>
    </w:rPr>
  </w:style>
  <w:style w:type="paragraph" w:customStyle="1" w:styleId="70">
    <w:name w:val="Char Char Char Char Char Char1 Char Char Char2"/>
    <w:basedOn w:val="1"/>
    <w:qFormat/>
    <w:uiPriority w:val="99"/>
    <w:pPr>
      <w:autoSpaceDE w:val="0"/>
      <w:autoSpaceDN w:val="0"/>
      <w:adjustRightInd w:val="0"/>
      <w:jc w:val="left"/>
      <w:textAlignment w:val="baseline"/>
    </w:pPr>
    <w:rPr>
      <w:rFonts w:eastAsia="方正仿宋简体"/>
      <w:sz w:val="32"/>
      <w:szCs w:val="20"/>
    </w:rPr>
  </w:style>
  <w:style w:type="paragraph" w:customStyle="1" w:styleId="71">
    <w:name w:val="Char Char Char Char Char Char1 Char Char Char3"/>
    <w:basedOn w:val="1"/>
    <w:qFormat/>
    <w:uiPriority w:val="99"/>
    <w:pPr>
      <w:autoSpaceDE w:val="0"/>
      <w:autoSpaceDN w:val="0"/>
      <w:adjustRightInd w:val="0"/>
      <w:jc w:val="left"/>
      <w:textAlignment w:val="baseline"/>
    </w:pPr>
    <w:rPr>
      <w:rFonts w:eastAsia="方正仿宋简体"/>
      <w:sz w:val="32"/>
      <w:szCs w:val="20"/>
    </w:rPr>
  </w:style>
  <w:style w:type="character" w:customStyle="1" w:styleId="72">
    <w:name w:val="Body Text Char"/>
    <w:basedOn w:val="26"/>
    <w:link w:val="73"/>
    <w:qFormat/>
    <w:locked/>
    <w:uiPriority w:val="0"/>
    <w:rPr>
      <w:rFonts w:ascii="Georgia"/>
    </w:rPr>
  </w:style>
  <w:style w:type="paragraph" w:customStyle="1" w:styleId="73">
    <w:name w:val="Body Text1"/>
    <w:basedOn w:val="1"/>
    <w:link w:val="72"/>
    <w:qFormat/>
    <w:uiPriority w:val="0"/>
    <w:rPr>
      <w:rFonts w:ascii="Georgia" w:hAnsi="Calibri"/>
      <w:kern w:val="0"/>
      <w:sz w:val="20"/>
      <w:szCs w:val="20"/>
    </w:rPr>
  </w:style>
  <w:style w:type="paragraph" w:customStyle="1" w:styleId="74">
    <w:name w:val="修订1"/>
    <w:hidden/>
    <w:semiHidden/>
    <w:qFormat/>
    <w:uiPriority w:val="99"/>
    <w:rPr>
      <w:rFonts w:ascii="Times New Roman" w:hAnsi="Times New Roman" w:eastAsia="宋体" w:cs="Times New Roman"/>
      <w:kern w:val="2"/>
      <w:sz w:val="21"/>
      <w:szCs w:val="21"/>
      <w:lang w:val="en-US" w:eastAsia="zh-CN" w:bidi="ar-SA"/>
    </w:rPr>
  </w:style>
  <w:style w:type="character" w:customStyle="1" w:styleId="75">
    <w:name w:val="纯文本 Char1"/>
    <w:basedOn w:val="26"/>
    <w:qFormat/>
    <w:locked/>
    <w:uiPriority w:val="0"/>
    <w:rPr>
      <w:rFonts w:ascii="宋体" w:hAnsi="Courier New" w:eastAsia="宋体" w:cs="宋体"/>
      <w:kern w:val="2"/>
      <w:sz w:val="21"/>
      <w:szCs w:val="21"/>
      <w:lang w:val="en-US" w:eastAsia="zh-CN"/>
    </w:rPr>
  </w:style>
  <w:style w:type="paragraph" w:styleId="76">
    <w:name w:val="List Paragraph"/>
    <w:basedOn w:val="1"/>
    <w:qFormat/>
    <w:uiPriority w:val="34"/>
    <w:pPr>
      <w:ind w:firstLine="420" w:firstLineChars="200"/>
    </w:pPr>
  </w:style>
  <w:style w:type="character" w:customStyle="1" w:styleId="77">
    <w:name w:val="headline-content"/>
    <w:basedOn w:val="26"/>
    <w:qFormat/>
    <w:uiPriority w:val="0"/>
  </w:style>
  <w:style w:type="character" w:customStyle="1" w:styleId="78">
    <w:name w:val="标题 Char"/>
    <w:basedOn w:val="26"/>
    <w:link w:val="25"/>
    <w:qFormat/>
    <w:uiPriority w:val="0"/>
    <w:rPr>
      <w:rFonts w:asciiTheme="majorHAnsi" w:hAnsiTheme="majorHAnsi" w:cstheme="majorBidi"/>
      <w:b/>
      <w:bCs/>
      <w:kern w:val="2"/>
      <w:sz w:val="32"/>
      <w:szCs w:val="32"/>
    </w:rPr>
  </w:style>
  <w:style w:type="paragraph" w:customStyle="1" w:styleId="79">
    <w:name w:val="正文的样式"/>
    <w:basedOn w:val="1"/>
    <w:qFormat/>
    <w:uiPriority w:val="0"/>
    <w:pPr>
      <w:spacing w:after="100"/>
      <w:jc w:val="left"/>
    </w:pPr>
    <w:rPr>
      <w:rFonts w:ascii="宋体" w:hAnsi="宋体"/>
      <w:sz w:val="20"/>
      <w:szCs w:val="20"/>
    </w:rPr>
  </w:style>
  <w:style w:type="character" w:customStyle="1" w:styleId="80">
    <w:name w:val="称呼 Char1"/>
    <w:qFormat/>
    <w:uiPriority w:val="0"/>
    <w:rPr>
      <w:rFonts w:hint="eastAsia" w:ascii="宋体" w:hAnsi="宋体" w:eastAsia="宋体"/>
      <w:kern w:val="2"/>
      <w:sz w:val="21"/>
      <w:lang w:val="en-US" w:eastAsia="zh-CN"/>
    </w:rPr>
  </w:style>
  <w:style w:type="character" w:customStyle="1" w:styleId="81">
    <w:name w:val="font21"/>
    <w:basedOn w:val="26"/>
    <w:qFormat/>
    <w:uiPriority w:val="0"/>
    <w:rPr>
      <w:rFonts w:hint="default" w:ascii="Arial" w:hAnsi="Arial" w:cs="Arial"/>
      <w:color w:val="000000"/>
      <w:sz w:val="18"/>
      <w:szCs w:val="18"/>
      <w:u w:val="none"/>
    </w:rPr>
  </w:style>
  <w:style w:type="character" w:customStyle="1" w:styleId="82">
    <w:name w:val="font11"/>
    <w:basedOn w:val="26"/>
    <w:qFormat/>
    <w:uiPriority w:val="0"/>
    <w:rPr>
      <w:rFonts w:hint="eastAsia" w:ascii="宋体" w:hAnsi="宋体" w:eastAsia="宋体" w:cs="宋体"/>
      <w:color w:val="000000"/>
      <w:sz w:val="18"/>
      <w:szCs w:val="18"/>
      <w:u w:val="none"/>
    </w:rPr>
  </w:style>
  <w:style w:type="character" w:customStyle="1" w:styleId="83">
    <w:name w:val="font31"/>
    <w:basedOn w:val="26"/>
    <w:qFormat/>
    <w:uiPriority w:val="0"/>
    <w:rPr>
      <w:rFonts w:hint="default" w:ascii="Arial" w:hAnsi="Arial" w:cs="Arial"/>
      <w:color w:val="00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E01750E-6273-4A77-9B0D-BAC35A19F50C}">
  <ds:schemaRefs/>
</ds:datastoreItem>
</file>

<file path=docProps/app.xml><?xml version="1.0" encoding="utf-8"?>
<Properties xmlns="http://schemas.openxmlformats.org/officeDocument/2006/extended-properties" xmlns:vt="http://schemas.openxmlformats.org/officeDocument/2006/docPropsVTypes">
  <Template>Normal</Template>
  <Company>大信</Company>
  <Pages>26</Pages>
  <Words>2754</Words>
  <Characters>15699</Characters>
  <Lines>130</Lines>
  <Paragraphs>36</Paragraphs>
  <TotalTime>0</TotalTime>
  <ScaleCrop>false</ScaleCrop>
  <LinksUpToDate>false</LinksUpToDate>
  <CharactersWithSpaces>18417</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2015-12-03T09:41:00Z</dcterms:created>
  <dc:creator>李洪</dc:creator>
  <cp:lastModifiedBy>艺霏</cp:lastModifiedBy>
  <cp:lastPrinted>2018-03-04T14:54:00Z</cp:lastPrinted>
  <dcterms:modified xsi:type="dcterms:W3CDTF">2018-03-16T02:27:41Z</dcterms:modified>
  <cp:revision>288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